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40" w:lineRule="exact"/>
        <w:jc w:val="center"/>
        <w:rPr>
          <w:rFonts w:hint="eastAsia" w:ascii="方正大标宋简体" w:hAnsi="方正大标宋简体" w:eastAsia="方正大标宋简体"/>
          <w:kern w:val="2"/>
          <w:sz w:val="44"/>
        </w:rPr>
      </w:pPr>
      <w:r>
        <w:rPr>
          <w:rFonts w:hint="eastAsia" w:ascii="方正大标宋简体" w:hAnsi="方正大标宋简体" w:eastAsia="方正大标宋简体"/>
          <w:kern w:val="2"/>
          <w:sz w:val="44"/>
        </w:rPr>
        <w:t>行政管理</w:t>
      </w:r>
      <w:r>
        <w:rPr>
          <w:rFonts w:hint="eastAsia" w:ascii="方正大标宋简体" w:hAnsi="华文中宋" w:eastAsia="方正大标宋简体"/>
          <w:kern w:val="2"/>
          <w:sz w:val="44"/>
          <w:szCs w:val="44"/>
        </w:rPr>
        <w:t>专业（650203）</w:t>
      </w:r>
    </w:p>
    <w:p>
      <w:pPr>
        <w:pStyle w:val="2"/>
        <w:spacing w:before="0" w:beforeAutospacing="0" w:after="0" w:afterAutospacing="0" w:line="640" w:lineRule="exact"/>
        <w:jc w:val="center"/>
        <w:rPr>
          <w:rFonts w:hint="eastAsia" w:ascii="方正大标宋简体" w:hAnsi="华文中宋" w:eastAsia="方正大标宋简体"/>
          <w:kern w:val="2"/>
          <w:sz w:val="44"/>
          <w:szCs w:val="44"/>
        </w:rPr>
      </w:pPr>
      <w:r>
        <w:rPr>
          <w:rFonts w:hint="eastAsia" w:ascii="方正大标宋简体" w:hAnsi="华文中宋" w:eastAsia="方正大标宋简体"/>
          <w:spacing w:val="60"/>
          <w:kern w:val="2"/>
          <w:sz w:val="44"/>
          <w:szCs w:val="44"/>
        </w:rPr>
        <w:t>人才培养方</w:t>
      </w:r>
      <w:r>
        <w:rPr>
          <w:rFonts w:hint="eastAsia" w:ascii="方正大标宋简体" w:hAnsi="华文中宋" w:eastAsia="方正大标宋简体"/>
          <w:kern w:val="2"/>
          <w:sz w:val="44"/>
          <w:szCs w:val="44"/>
        </w:rPr>
        <w:t>案</w:t>
      </w:r>
    </w:p>
    <w:p>
      <w:pPr>
        <w:pStyle w:val="2"/>
        <w:spacing w:before="0" w:beforeAutospacing="0" w:after="0" w:afterAutospacing="0" w:line="200" w:lineRule="exact"/>
        <w:ind w:firstLine="723" w:firstLineChars="300"/>
        <w:jc w:val="both"/>
        <w:rPr>
          <w:rFonts w:hint="eastAsia"/>
          <w:b/>
          <w:kern w:val="2"/>
        </w:rPr>
      </w:pPr>
    </w:p>
    <w:p>
      <w:pPr>
        <w:pStyle w:val="2"/>
        <w:spacing w:before="0" w:beforeAutospacing="0" w:after="0" w:afterAutospacing="0" w:line="400" w:lineRule="exact"/>
        <w:ind w:firstLine="560" w:firstLineChars="200"/>
        <w:jc w:val="both"/>
        <w:rPr>
          <w:rFonts w:hint="eastAsia" w:ascii="黑体" w:eastAsia="黑体"/>
          <w:kern w:val="2"/>
          <w:sz w:val="28"/>
          <w:szCs w:val="28"/>
        </w:rPr>
      </w:pPr>
      <w:r>
        <w:rPr>
          <w:rFonts w:hint="eastAsia" w:ascii="黑体" w:eastAsia="黑体"/>
          <w:kern w:val="2"/>
          <w:sz w:val="28"/>
          <w:szCs w:val="28"/>
        </w:rPr>
        <w:t>一、专业分析</w:t>
      </w:r>
    </w:p>
    <w:p>
      <w:pPr>
        <w:pStyle w:val="2"/>
        <w:spacing w:before="0" w:beforeAutospacing="0" w:after="0" w:afterAutospacing="0" w:line="400" w:lineRule="exact"/>
        <w:ind w:firstLine="480" w:firstLineChars="200"/>
        <w:rPr>
          <w:rFonts w:hint="eastAsia" w:ascii="楷体_GB2312" w:eastAsia="楷体_GB2312"/>
          <w:kern w:val="2"/>
        </w:rPr>
      </w:pPr>
      <w:r>
        <w:rPr>
          <w:rFonts w:hint="eastAsia" w:ascii="楷体_GB2312" w:eastAsia="楷体_GB2312"/>
          <w:kern w:val="2"/>
        </w:rPr>
        <w:t>行政管理是根据管理学、政治学、行政学和法学的一般原理，从整体上研究对国家及公共事务管理的原理与方法，研究国家对政治、经济、文化、科技、社会等各类部门进行管理的原则与方法，研究国家机关、企事业单位及公共事业组织的行政改革方案设计、途径和方法以及提高行政效率的具体措施等。</w:t>
      </w:r>
    </w:p>
    <w:p>
      <w:pPr>
        <w:pStyle w:val="2"/>
        <w:spacing w:before="0" w:beforeAutospacing="0" w:after="0" w:afterAutospacing="0" w:line="400" w:lineRule="exact"/>
        <w:ind w:firstLine="480" w:firstLineChars="200"/>
        <w:rPr>
          <w:rFonts w:hint="eastAsia" w:ascii="楷体_GB2312" w:eastAsia="楷体_GB2312"/>
          <w:kern w:val="2"/>
        </w:rPr>
      </w:pPr>
      <w:r>
        <w:rPr>
          <w:rFonts w:hint="eastAsia" w:ascii="楷体_GB2312" w:eastAsia="楷体_GB2312"/>
          <w:kern w:val="2"/>
        </w:rPr>
        <w:t>从1924年美国锡拉丘大学马克斯韦尔公民与公共事务学院就成立了公共服务培训学校，设立了第一个面向公共行政和管理领域的高级培养计划以来，行政管理在国外已有近一个世纪的发展历史。而我国在改革开放后恢复了行政管理学科。但长期以来，行政管理学科都隶属于政治学门类，注重培养从事学术性研究和教学人员，且知识面较窄，现代科学知识及管理知识和技能学习掌握较少，不能适应现代高技术信息社会对管理人才的高要求。在1998年教育部制定的新学科目录中，将公共管理从政治学提升出来，列为管理类学科门类下的一级学科，行政管理作为其下的二级学科，标志着公共管理及行政管理学科进入了一个新的发展时期。</w:t>
      </w:r>
    </w:p>
    <w:p>
      <w:pPr>
        <w:pStyle w:val="2"/>
        <w:spacing w:before="0" w:beforeAutospacing="0" w:after="0" w:afterAutospacing="0" w:line="400" w:lineRule="exact"/>
        <w:ind w:firstLine="480" w:firstLineChars="200"/>
        <w:rPr>
          <w:rFonts w:hint="eastAsia" w:ascii="楷体_GB2312" w:eastAsia="楷体_GB2312"/>
          <w:kern w:val="2"/>
        </w:rPr>
      </w:pPr>
      <w:r>
        <w:rPr>
          <w:rFonts w:hint="eastAsia" w:ascii="楷体_GB2312" w:eastAsia="楷体_GB2312"/>
          <w:kern w:val="2"/>
        </w:rPr>
        <w:t>改革开放以来，我国在经济体制改革和经济建设方面取得了巨大成就，但政治体制改革明显滞后，已经到了制约我国经济建设进一步健康发展的地步。从党的十三大把政治体制改革提上议事日程以来，党和政府对深化行政管理体制改革的重视程度不断提高。同时，企事业单位和社会公共组织对提高内部行政管理效率、改善行政管理效能的需求也明显增强。这既对我国行政管理理论的发展深化提出了明确要求，也对具有理论基础与实践应用技能相结合的复合型行政管理专业人才构成了巨大的市场需求。当前，国内各大院校都在积极探讨新形势下公共管理学科的建设、发展、课程体系以及培养目标、培养方式等等。据调查显示，目前我国开设行政管理专业的高等院校共计1２８所，山东省共13所。</w:t>
      </w:r>
    </w:p>
    <w:p>
      <w:pPr>
        <w:pStyle w:val="2"/>
        <w:spacing w:before="0" w:beforeAutospacing="0" w:after="0" w:afterAutospacing="0" w:line="400" w:lineRule="exact"/>
        <w:ind w:firstLine="480" w:firstLineChars="200"/>
        <w:rPr>
          <w:rFonts w:hint="eastAsia" w:ascii="楷体_GB2312" w:eastAsia="楷体_GB2312"/>
          <w:kern w:val="2"/>
        </w:rPr>
      </w:pPr>
      <w:r>
        <w:rPr>
          <w:rFonts w:hint="eastAsia" w:ascii="楷体_GB2312" w:eastAsia="楷体_GB2312"/>
          <w:kern w:val="2"/>
        </w:rPr>
        <w:t>根据行政管理专业的发展趋势和社会需求的特点，我们将秉承“以理论为基础、以应用为导向、以实践为依托”的办学理念，采用“一、二年级打基础，三年级重技能”的教学模式，合理设置专业课程模块，学生自主选择，适度分类培养。以管理理论为基本平台，强化学生实践技能培养，实现理论知识和实践技能的有效结合，突出培养具有创新意识和实践能力的高级应用型人才。</w:t>
      </w:r>
    </w:p>
    <w:p>
      <w:pPr>
        <w:pStyle w:val="2"/>
        <w:spacing w:before="0" w:beforeAutospacing="0" w:after="0" w:afterAutospacing="0" w:line="400" w:lineRule="exact"/>
        <w:ind w:firstLine="480" w:firstLineChars="200"/>
        <w:rPr>
          <w:rFonts w:hint="eastAsia" w:ascii="楷体_GB2312" w:eastAsia="楷体_GB2312"/>
          <w:kern w:val="2"/>
        </w:rPr>
      </w:pPr>
      <w:r>
        <w:rPr>
          <w:rFonts w:hint="eastAsia" w:ascii="楷体_GB2312" w:eastAsia="楷体_GB2312"/>
          <w:kern w:val="2"/>
        </w:rPr>
        <w:t>毕业生可从事党政机关、企事业单位和公共事业组织的行政协理员，行政主管、协调层或决策层高级助理，毕业生还适宜在工商行政管理部门、涉外经济管理部门、经济监督检查等管理部门从事政策和法规研究及实际工作，学校、科研部门的教学或科研管理工作，各种企业和企业集团、公司的经营管理工作。</w:t>
      </w:r>
    </w:p>
    <w:p>
      <w:pPr>
        <w:pStyle w:val="2"/>
        <w:spacing w:before="0" w:beforeAutospacing="0" w:after="0" w:afterAutospacing="0" w:line="400" w:lineRule="exact"/>
        <w:ind w:firstLine="560" w:firstLineChars="200"/>
        <w:rPr>
          <w:rFonts w:hint="eastAsia" w:ascii="黑体" w:eastAsia="黑体"/>
          <w:kern w:val="2"/>
          <w:sz w:val="28"/>
          <w:szCs w:val="28"/>
        </w:rPr>
      </w:pPr>
      <w:r>
        <w:rPr>
          <w:rFonts w:hint="eastAsia" w:ascii="黑体" w:eastAsia="黑体"/>
          <w:kern w:val="2"/>
          <w:sz w:val="28"/>
          <w:szCs w:val="28"/>
        </w:rPr>
        <w:t>二、培养目标</w:t>
      </w:r>
    </w:p>
    <w:p>
      <w:pPr>
        <w:widowControl/>
        <w:tabs>
          <w:tab w:val="left" w:pos="-234"/>
        </w:tabs>
        <w:spacing w:line="400" w:lineRule="exact"/>
        <w:ind w:firstLine="315" w:firstLineChars="150"/>
        <w:rPr>
          <w:rFonts w:hint="eastAsia" w:ascii="仿宋_GB2312" w:hAnsi="宋体" w:eastAsia="仿宋_GB2312"/>
          <w:sz w:val="24"/>
        </w:rPr>
      </w:pPr>
      <w:r>
        <w:rPr>
          <w:rFonts w:hint="eastAsia" w:ascii="仿宋_GB2312" w:eastAsia="仿宋_GB2312"/>
        </w:rPr>
        <w:t>该专业培养拥护党的基本路线，掌握行政管理学、经济学、政治学、法学等方面的基本知识，</w:t>
      </w:r>
      <w:r>
        <w:rPr>
          <w:rFonts w:hint="eastAsia" w:ascii="仿宋_GB2312" w:eastAsia="仿宋_GB2312"/>
          <w:color w:val="000000"/>
        </w:rPr>
        <w:t>具有运用管理理论和现代管理分析方法的能力；</w:t>
      </w:r>
      <w:r>
        <w:rPr>
          <w:rFonts w:hint="eastAsia" w:ascii="仿宋_GB2312" w:eastAsia="仿宋_GB2312"/>
        </w:rPr>
        <w:t>具有进行政策分析、人力资源管理运作、人际沟通的</w:t>
      </w:r>
      <w:r>
        <w:rPr>
          <w:rFonts w:hint="eastAsia" w:ascii="仿宋_GB2312" w:eastAsia="仿宋_GB2312"/>
          <w:color w:val="000000"/>
        </w:rPr>
        <w:t>实务操作能力</w:t>
      </w:r>
      <w:r>
        <w:rPr>
          <w:rFonts w:hint="eastAsia" w:ascii="仿宋_GB2312" w:eastAsia="仿宋_GB2312"/>
        </w:rPr>
        <w:t>和</w:t>
      </w:r>
      <w:r>
        <w:rPr>
          <w:rFonts w:hint="eastAsia" w:ascii="仿宋_GB2312" w:eastAsia="仿宋_GB2312"/>
          <w:color w:val="000000"/>
        </w:rPr>
        <w:t>较强的团队合作能力</w:t>
      </w:r>
      <w:r>
        <w:rPr>
          <w:rFonts w:hint="eastAsia" w:ascii="仿宋_GB2312" w:eastAsia="仿宋_GB2312"/>
        </w:rPr>
        <w:t>；能够在党政机关、企事业、社会团体等单位从事人力资源管理、政策分析</w:t>
      </w:r>
      <w:r>
        <w:rPr>
          <w:rFonts w:hint="eastAsia" w:ascii="仿宋_GB2312" w:eastAsia="仿宋_GB2312" w:cs="宋体"/>
          <w:kern w:val="0"/>
        </w:rPr>
        <w:t>和营销宣传等工作，德、智、体、美等方面</w:t>
      </w:r>
      <w:r>
        <w:rPr>
          <w:rFonts w:hint="eastAsia" w:ascii="仿宋_GB2312" w:eastAsia="仿宋_GB2312"/>
        </w:rPr>
        <w:t>的高素质高技能人才。</w:t>
      </w:r>
    </w:p>
    <w:p>
      <w:pPr>
        <w:widowControl/>
        <w:spacing w:line="400" w:lineRule="exact"/>
        <w:ind w:firstLine="560" w:firstLineChars="200"/>
        <w:jc w:val="left"/>
        <w:rPr>
          <w:rFonts w:hint="eastAsia" w:ascii="黑体" w:hAnsi="宋体" w:eastAsia="黑体"/>
          <w:sz w:val="28"/>
          <w:szCs w:val="28"/>
        </w:rPr>
      </w:pPr>
      <w:r>
        <w:rPr>
          <w:rFonts w:hint="eastAsia" w:ascii="黑体" w:hAnsi="宋体" w:eastAsia="黑体"/>
          <w:sz w:val="28"/>
          <w:szCs w:val="28"/>
        </w:rPr>
        <w:t>三、培养规格</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本专业毕业生应在知识、能力和素质三方面达到以下要求：</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（一）知识要求</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1．文化基础知识：掌握思想政治基本原理、必备的英语知识、</w:t>
      </w:r>
      <w:r>
        <w:rPr>
          <w:rFonts w:hint="eastAsia" w:ascii="楷体_GB2312" w:hAnsi="宋体" w:eastAsia="楷体_GB2312"/>
          <w:color w:val="000000"/>
          <w:sz w:val="24"/>
        </w:rPr>
        <w:t>计算机应用的基础知识、</w:t>
      </w:r>
      <w:r>
        <w:rPr>
          <w:rFonts w:hint="eastAsia" w:ascii="楷体_GB2312" w:hAnsi="宋体" w:eastAsia="楷体_GB2312"/>
          <w:sz w:val="24"/>
        </w:rPr>
        <w:t>一定的文学、社会学、艺术修养等方面的知识；具有必备的体育知识、就业知识和一定的军事常识。</w:t>
      </w:r>
    </w:p>
    <w:p>
      <w:pPr>
        <w:spacing w:line="400" w:lineRule="exact"/>
        <w:ind w:firstLine="480" w:firstLineChars="200"/>
        <w:rPr>
          <w:rFonts w:hint="eastAsia" w:ascii="楷体_GB2312" w:hAnsi="宋体" w:eastAsia="楷体_GB2312"/>
          <w:color w:val="FF6600"/>
          <w:sz w:val="24"/>
        </w:rPr>
      </w:pPr>
      <w:r>
        <w:rPr>
          <w:rFonts w:hint="eastAsia" w:ascii="楷体_GB2312" w:hAnsi="宋体" w:eastAsia="楷体_GB2312"/>
          <w:sz w:val="24"/>
        </w:rPr>
        <w:t>2．专业基础知识：</w:t>
      </w:r>
      <w:r>
        <w:rPr>
          <w:rFonts w:hint="eastAsia" w:ascii="楷体_GB2312" w:hAnsi="宋体" w:eastAsia="楷体_GB2312"/>
          <w:color w:val="000000"/>
          <w:sz w:val="24"/>
        </w:rPr>
        <w:t>具有必备的法学基础知识、政治学、社会学、管理学基本理论；掌握管理学、公共政策学、公共关系学等基础知识。</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3．专业知识：</w:t>
      </w:r>
      <w:r>
        <w:rPr>
          <w:rFonts w:hint="eastAsia" w:ascii="楷体_GB2312" w:hAnsi="宋体" w:eastAsia="楷体_GB2312"/>
          <w:color w:val="000000"/>
          <w:sz w:val="24"/>
        </w:rPr>
        <w:t>具有行政管理学、人力资源开发与管理的知识；具有市政管理学的知识；具有人力资源管理、企业管理知识。</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4．职业技能知识：</w:t>
      </w:r>
      <w:r>
        <w:rPr>
          <w:rFonts w:hint="eastAsia" w:ascii="楷体_GB2312" w:eastAsia="楷体_GB2312"/>
          <w:sz w:val="24"/>
        </w:rPr>
        <w:t>掌握办公室应用软件操作，掌握办公文秘实务操作的知识，掌握调查获取数据的相关方法，掌握人际沟通技巧关系、公共政策分析等相关知识。</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（二）能力要求</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1．基础能力：具有运用辩证唯物主义基本观点及方法分析和解决问题能力；具有较高的英语和计算机应用能力；具有较强的语言及文字表达能力；具有较好的体育运动技能和锻炼能力；具有一定的艺术欣赏能力。</w:t>
      </w:r>
    </w:p>
    <w:p>
      <w:pPr>
        <w:widowControl/>
        <w:tabs>
          <w:tab w:val="left" w:pos="-234"/>
        </w:tabs>
        <w:spacing w:line="400" w:lineRule="exact"/>
        <w:ind w:firstLine="360" w:firstLineChars="150"/>
        <w:rPr>
          <w:rFonts w:hint="eastAsia" w:ascii="楷体_GB2312" w:hAnsi="宋体" w:eastAsia="楷体_GB2312"/>
          <w:sz w:val="24"/>
        </w:rPr>
      </w:pPr>
      <w:r>
        <w:rPr>
          <w:rFonts w:hint="eastAsia" w:ascii="楷体_GB2312" w:hAnsi="宋体" w:eastAsia="楷体_GB2312"/>
          <w:sz w:val="24"/>
        </w:rPr>
        <w:t>2．专业能力：</w:t>
      </w:r>
      <w:r>
        <w:rPr>
          <w:rFonts w:hint="eastAsia" w:ascii="楷体_GB2312" w:hAnsi="宋体" w:eastAsia="楷体_GB2312"/>
          <w:color w:val="000000"/>
          <w:sz w:val="24"/>
        </w:rPr>
        <w:t>具有运用管理理论和现代管理分析方法的能力；具有</w:t>
      </w:r>
      <w:r>
        <w:rPr>
          <w:rFonts w:hint="eastAsia" w:ascii="楷体_GB2312" w:hAnsi="宋体" w:eastAsia="楷体_GB2312"/>
          <w:sz w:val="24"/>
        </w:rPr>
        <w:t>利用管理学、政治学、社会学、法学等方法进行分析和研究</w:t>
      </w:r>
      <w:r>
        <w:rPr>
          <w:rFonts w:hint="eastAsia" w:ascii="楷体_GB2312" w:hAnsi="宋体" w:eastAsia="楷体_GB2312"/>
          <w:color w:val="000000"/>
          <w:sz w:val="24"/>
        </w:rPr>
        <w:t>的能力。</w:t>
      </w:r>
    </w:p>
    <w:p>
      <w:pPr>
        <w:spacing w:line="400" w:lineRule="exact"/>
        <w:ind w:firstLine="480" w:firstLineChars="200"/>
        <w:rPr>
          <w:rFonts w:hint="eastAsia" w:ascii="楷体_GB2312" w:eastAsia="楷体_GB2312"/>
          <w:sz w:val="24"/>
        </w:rPr>
      </w:pPr>
      <w:r>
        <w:rPr>
          <w:rFonts w:hint="eastAsia" w:ascii="楷体_GB2312" w:hAnsi="宋体" w:eastAsia="楷体_GB2312"/>
          <w:sz w:val="24"/>
        </w:rPr>
        <w:t xml:space="preserve"> 3．职业能力：具有进行政策分析、</w:t>
      </w:r>
      <w:r>
        <w:rPr>
          <w:rFonts w:hint="eastAsia" w:ascii="楷体_GB2312" w:eastAsia="楷体_GB2312"/>
          <w:sz w:val="24"/>
        </w:rPr>
        <w:t>人力资源管理运作、</w:t>
      </w:r>
      <w:r>
        <w:rPr>
          <w:rFonts w:hint="eastAsia" w:ascii="楷体_GB2312" w:hAnsi="宋体" w:eastAsia="楷体_GB2312"/>
          <w:sz w:val="24"/>
        </w:rPr>
        <w:t>人际沟通的</w:t>
      </w:r>
      <w:r>
        <w:rPr>
          <w:rFonts w:hint="eastAsia" w:ascii="楷体_GB2312" w:hAnsi="宋体" w:eastAsia="楷体_GB2312"/>
          <w:color w:val="000000"/>
          <w:sz w:val="24"/>
        </w:rPr>
        <w:t>实务操作能力</w:t>
      </w:r>
      <w:r>
        <w:rPr>
          <w:rFonts w:hint="eastAsia" w:ascii="楷体_GB2312" w:hAnsi="宋体" w:eastAsia="楷体_GB2312"/>
          <w:sz w:val="24"/>
        </w:rPr>
        <w:t>；</w:t>
      </w:r>
      <w:r>
        <w:rPr>
          <w:rFonts w:hint="eastAsia" w:ascii="楷体_GB2312" w:hAnsi="宋体" w:eastAsia="楷体_GB2312"/>
          <w:color w:val="000000"/>
          <w:sz w:val="24"/>
        </w:rPr>
        <w:t>具有一定的文献检索和科研创新能力；具有较强的团队合作能力</w:t>
      </w:r>
      <w:r>
        <w:rPr>
          <w:rFonts w:hint="eastAsia" w:ascii="楷体_GB2312" w:hAnsi="宋体" w:eastAsia="楷体_GB2312"/>
          <w:sz w:val="24"/>
        </w:rPr>
        <w:t>。</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（三）素质要求</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1．政治思想素质：热爱社会主义祖国，拥护中国共产党的领导，掌握马克思主义基本原理、毛泽东思想和中国特色社会主义理论体系；树立科学的世界观、人生观和价值观；具有责任心和社会责任感；遵纪守法，有良好的思想道德和社会公德。</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2．人文素质：具有一定的文学、美学艺术修养；具备良好的心理素质和人际沟通修养；具有服务意识、现代化意识和解决问题的能力。</w:t>
      </w:r>
    </w:p>
    <w:p>
      <w:pPr>
        <w:spacing w:line="400" w:lineRule="exact"/>
        <w:ind w:firstLine="480" w:firstLineChars="200"/>
        <w:rPr>
          <w:rFonts w:hint="eastAsia" w:ascii="楷体_GB2312" w:hAnsi="宋体" w:eastAsia="楷体_GB2312"/>
          <w:color w:val="000000"/>
          <w:sz w:val="24"/>
        </w:rPr>
      </w:pPr>
      <w:r>
        <w:rPr>
          <w:rFonts w:hint="eastAsia" w:ascii="楷体_GB2312" w:hAnsi="宋体" w:eastAsia="楷体_GB2312"/>
          <w:sz w:val="24"/>
        </w:rPr>
        <w:t>3．专业素质：</w:t>
      </w:r>
      <w:r>
        <w:rPr>
          <w:rFonts w:hint="eastAsia" w:ascii="楷体_GB2312" w:hAnsi="宋体" w:eastAsia="楷体_GB2312"/>
          <w:color w:val="000000"/>
          <w:sz w:val="24"/>
        </w:rPr>
        <w:t>掌握管理学思维方法和管理学研究方法，具有一定的管理意识；具有从事政策分析、办公文秘等素质；具有较强的专业素质。</w:t>
      </w:r>
    </w:p>
    <w:p>
      <w:pPr>
        <w:spacing w:line="400" w:lineRule="exact"/>
        <w:ind w:firstLine="480" w:firstLineChars="200"/>
        <w:rPr>
          <w:rFonts w:hint="eastAsia" w:ascii="楷体_GB2312" w:hAnsi="宋体" w:eastAsia="楷体_GB2312"/>
          <w:color w:val="000000"/>
          <w:sz w:val="24"/>
        </w:rPr>
      </w:pPr>
      <w:r>
        <w:rPr>
          <w:rFonts w:hint="eastAsia" w:ascii="楷体_GB2312" w:hAnsi="宋体" w:eastAsia="楷体_GB2312"/>
          <w:sz w:val="24"/>
        </w:rPr>
        <w:t>4．职业素质：热爱行政管理专业，具有本专业的专业知识和专业技能；</w:t>
      </w:r>
      <w:r>
        <w:rPr>
          <w:rFonts w:hint="eastAsia" w:ascii="楷体_GB2312" w:hAnsi="宋体" w:eastAsia="楷体_GB2312"/>
          <w:color w:val="000000"/>
          <w:sz w:val="24"/>
        </w:rPr>
        <w:t>注重职业道德修养，具有诚实守信、敬岗爱业的品质及团队合作的精神；具有从事政策分析、办公文秘的实务操作素质。</w:t>
      </w:r>
    </w:p>
    <w:p>
      <w:pPr>
        <w:spacing w:line="400" w:lineRule="exact"/>
        <w:ind w:firstLine="480" w:firstLineChars="200"/>
        <w:rPr>
          <w:rFonts w:hint="eastAsia" w:ascii="楷体_GB2312" w:hAnsi="宋体" w:eastAsia="楷体_GB2312"/>
          <w:sz w:val="24"/>
        </w:rPr>
      </w:pPr>
      <w:r>
        <w:rPr>
          <w:rFonts w:hint="eastAsia" w:ascii="楷体_GB2312" w:hAnsi="宋体" w:eastAsia="楷体_GB2312"/>
          <w:sz w:val="24"/>
        </w:rPr>
        <w:t>5．身心素质：具有良好的体育锻炼和卫生习惯，具有健康的体魄，达到国家规定的高校学生体育和军事训练合格标准；有较强的心理素质，能勇于克服困难；能适应竞争工作需要。</w:t>
      </w:r>
    </w:p>
    <w:p>
      <w:pPr>
        <w:tabs>
          <w:tab w:val="left" w:pos="0"/>
        </w:tabs>
        <w:spacing w:line="36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能力、素质、知识结构表见附表1。</w:t>
      </w:r>
    </w:p>
    <w:p>
      <w:pPr>
        <w:tabs>
          <w:tab w:val="left" w:pos="3020"/>
        </w:tabs>
        <w:spacing w:line="400" w:lineRule="exact"/>
        <w:rPr>
          <w:rFonts w:hint="eastAsia" w:ascii="楷体_GB2312" w:eastAsia="楷体_GB2312"/>
          <w:b/>
          <w:sz w:val="24"/>
        </w:rPr>
      </w:pPr>
      <w:r>
        <w:rPr>
          <w:rFonts w:hint="eastAsia" w:ascii="楷体_GB2312" w:eastAsia="楷体_GB2312"/>
          <w:b/>
          <w:sz w:val="24"/>
        </w:rPr>
        <w:t>附表1：</w:t>
      </w:r>
    </w:p>
    <w:p>
      <w:pPr>
        <w:tabs>
          <w:tab w:val="left" w:pos="3020"/>
        </w:tabs>
        <w:spacing w:line="400" w:lineRule="exact"/>
        <w:jc w:val="center"/>
        <w:rPr>
          <w:rFonts w:hint="eastAsia" w:ascii="楷体_GB2312" w:hAnsi="宋体" w:eastAsia="楷体_GB2312"/>
          <w:b/>
          <w:sz w:val="24"/>
        </w:rPr>
      </w:pPr>
      <w:r>
        <w:rPr>
          <w:rFonts w:hint="eastAsia" w:ascii="楷体_GB2312" w:hAnsi="宋体" w:eastAsia="楷体_GB2312"/>
          <w:b/>
          <w:sz w:val="24"/>
        </w:rPr>
        <w:t>知识、能力、素质结构表</w:t>
      </w:r>
    </w:p>
    <w:tbl>
      <w:tblPr>
        <w:tblStyle w:val="7"/>
        <w:tblW w:w="8880" w:type="dxa"/>
        <w:jc w:val="center"/>
        <w:tblInd w:w="1969"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1367"/>
        <w:gridCol w:w="5580"/>
        <w:gridCol w:w="19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trHeight w:val="426" w:hRule="atLeast"/>
          <w:jc w:val="center"/>
        </w:trPr>
        <w:tc>
          <w:tcPr>
            <w:tcW w:w="1367" w:type="dxa"/>
            <w:tcBorders>
              <w:top w:val="single" w:color="auto" w:sz="12" w:space="0"/>
              <w:left w:val="single" w:color="auto" w:sz="12" w:space="0"/>
              <w:bottom w:val="single" w:color="auto" w:sz="8" w:space="0"/>
              <w:right w:val="single" w:color="auto" w:sz="8" w:space="0"/>
            </w:tcBorders>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能力</w:t>
            </w:r>
            <w:r>
              <w:rPr>
                <w:rFonts w:hint="eastAsia" w:ascii="仿宋_GB2312" w:eastAsia="仿宋_GB2312" w:cs="宋体"/>
                <w:color w:val="000000"/>
              </w:rPr>
              <w:t>素质要求</w:t>
            </w:r>
          </w:p>
        </w:tc>
        <w:tc>
          <w:tcPr>
            <w:tcW w:w="5580" w:type="dxa"/>
            <w:tcBorders>
              <w:top w:val="single" w:color="auto" w:sz="12" w:space="0"/>
              <w:left w:val="single" w:color="auto" w:sz="8" w:space="0"/>
              <w:bottom w:val="single" w:color="auto" w:sz="8" w:space="0"/>
              <w:right w:val="single" w:color="auto" w:sz="8" w:space="0"/>
            </w:tcBorders>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主要知识单元</w:t>
            </w:r>
          </w:p>
        </w:tc>
        <w:tc>
          <w:tcPr>
            <w:tcW w:w="1933" w:type="dxa"/>
            <w:tcBorders>
              <w:top w:val="single" w:color="auto" w:sz="12" w:space="0"/>
              <w:left w:val="single" w:color="auto" w:sz="8" w:space="0"/>
              <w:bottom w:val="single" w:color="auto" w:sz="8" w:space="0"/>
              <w:right w:val="single" w:color="auto" w:sz="12" w:space="0"/>
            </w:tcBorders>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支撑课程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3002" w:hRule="atLeast"/>
          <w:jc w:val="center"/>
        </w:trPr>
        <w:tc>
          <w:tcPr>
            <w:tcW w:w="1367" w:type="dxa"/>
            <w:vMerge w:val="restart"/>
            <w:tcBorders>
              <w:top w:val="single" w:color="auto" w:sz="8" w:space="0"/>
              <w:left w:val="single" w:color="auto" w:sz="12" w:space="0"/>
              <w:right w:val="single" w:color="auto" w:sz="8" w:space="0"/>
            </w:tcBorders>
            <w:vAlign w:val="center"/>
          </w:tcPr>
          <w:p>
            <w:pPr>
              <w:pStyle w:val="2"/>
              <w:snapToGrid w:val="0"/>
              <w:spacing w:line="288" w:lineRule="auto"/>
              <w:ind w:firstLine="34"/>
              <w:jc w:val="center"/>
              <w:rPr>
                <w:rFonts w:hint="eastAsia" w:ascii="Times New Roman"/>
                <w:b/>
                <w:sz w:val="21"/>
                <w:szCs w:val="21"/>
              </w:rPr>
            </w:pPr>
            <w:r>
              <w:rPr>
                <w:rFonts w:hint="eastAsia" w:ascii="Times New Roman"/>
                <w:b/>
                <w:sz w:val="21"/>
                <w:szCs w:val="21"/>
              </w:rPr>
              <w:t>基本能力</w:t>
            </w:r>
            <w:r>
              <w:rPr>
                <w:rFonts w:ascii="Times New Roman"/>
                <w:b/>
                <w:sz w:val="21"/>
                <w:szCs w:val="21"/>
              </w:rPr>
              <w:t>素质</w:t>
            </w:r>
          </w:p>
          <w:p>
            <w:pPr>
              <w:widowControl/>
              <w:tabs>
                <w:tab w:val="left" w:pos="-234"/>
                <w:tab w:val="left" w:pos="0"/>
              </w:tabs>
              <w:jc w:val="left"/>
              <w:rPr>
                <w:rFonts w:hint="eastAsia" w:ascii="仿宋_GB2312" w:hAnsi="宋体" w:eastAsia="仿宋_GB2312"/>
                <w:color w:val="000000"/>
                <w:szCs w:val="21"/>
              </w:rPr>
            </w:pPr>
            <w:r>
              <w:rPr>
                <w:rFonts w:hint="eastAsia" w:ascii="仿宋_GB2312" w:hAnsi="宋体" w:eastAsia="仿宋_GB2312"/>
                <w:color w:val="000000"/>
                <w:szCs w:val="21"/>
              </w:rPr>
              <w:t>（包括</w:t>
            </w:r>
            <w:r>
              <w:rPr>
                <w:rFonts w:ascii="仿宋_GB2312" w:hAnsi="宋体" w:eastAsia="仿宋_GB2312"/>
                <w:color w:val="000000"/>
                <w:szCs w:val="21"/>
              </w:rPr>
              <w:t>思想政治与道德</w:t>
            </w:r>
            <w:r>
              <w:rPr>
                <w:rFonts w:hint="eastAsia" w:ascii="仿宋_GB2312" w:hAnsi="宋体" w:eastAsia="仿宋_GB2312"/>
                <w:color w:val="000000"/>
                <w:szCs w:val="21"/>
              </w:rPr>
              <w:t>法律、外国语、</w:t>
            </w:r>
            <w:r>
              <w:rPr>
                <w:rFonts w:ascii="仿宋_GB2312" w:hAnsi="宋体" w:eastAsia="仿宋_GB2312"/>
                <w:color w:val="000000"/>
                <w:szCs w:val="21"/>
              </w:rPr>
              <w:t>体育运动</w:t>
            </w:r>
            <w:r>
              <w:rPr>
                <w:rFonts w:hint="eastAsia" w:ascii="仿宋_GB2312" w:hAnsi="宋体" w:eastAsia="仿宋_GB2312"/>
                <w:color w:val="000000"/>
                <w:szCs w:val="21"/>
              </w:rPr>
              <w:t>、人文素养、</w:t>
            </w:r>
            <w:r>
              <w:rPr>
                <w:rFonts w:ascii="仿宋_GB2312" w:hAnsi="宋体" w:eastAsia="仿宋_GB2312"/>
                <w:color w:val="000000"/>
                <w:szCs w:val="21"/>
              </w:rPr>
              <w:t>科学素</w:t>
            </w:r>
            <w:r>
              <w:rPr>
                <w:rFonts w:hint="eastAsia" w:ascii="仿宋_GB2312" w:hAnsi="宋体" w:eastAsia="仿宋_GB2312"/>
                <w:color w:val="000000"/>
                <w:szCs w:val="21"/>
              </w:rPr>
              <w:t>养、</w:t>
            </w:r>
            <w:r>
              <w:rPr>
                <w:rFonts w:ascii="仿宋_GB2312" w:hAnsi="宋体" w:eastAsia="仿宋_GB2312"/>
                <w:color w:val="000000"/>
                <w:szCs w:val="21"/>
              </w:rPr>
              <w:t>艺术素</w:t>
            </w:r>
            <w:r>
              <w:rPr>
                <w:rFonts w:hint="eastAsia" w:ascii="仿宋_GB2312" w:hAnsi="宋体" w:eastAsia="仿宋_GB2312"/>
                <w:color w:val="000000"/>
                <w:szCs w:val="21"/>
              </w:rPr>
              <w:t>养、沟通合作等方面的能力素质</w:t>
            </w:r>
            <w:r>
              <w:rPr>
                <w:rFonts w:ascii="仿宋_GB2312" w:hAnsi="宋体" w:eastAsia="仿宋_GB2312"/>
                <w:color w:val="000000"/>
                <w:szCs w:val="21"/>
              </w:rPr>
              <w:t>）</w:t>
            </w:r>
          </w:p>
        </w:tc>
        <w:tc>
          <w:tcPr>
            <w:tcW w:w="5580" w:type="dxa"/>
            <w:tcBorders>
              <w:top w:val="single" w:color="auto" w:sz="8" w:space="0"/>
              <w:left w:val="single" w:color="auto" w:sz="8" w:space="0"/>
              <w:bottom w:val="single" w:color="auto" w:sz="8" w:space="0"/>
              <w:right w:val="single" w:color="auto" w:sz="8" w:space="0"/>
            </w:tcBorders>
            <w:vAlign w:val="center"/>
          </w:tcPr>
          <w:p>
            <w:pPr>
              <w:widowControl/>
              <w:rPr>
                <w:rFonts w:hint="eastAsia" w:ascii="仿宋_GB2312" w:hAnsi="宋体" w:eastAsia="仿宋_GB2312"/>
                <w:color w:val="000000"/>
                <w:szCs w:val="21"/>
              </w:rPr>
            </w:pPr>
            <w:r>
              <w:rPr>
                <w:rFonts w:ascii="仿宋_GB2312" w:hAnsi="宋体" w:eastAsia="仿宋_GB2312"/>
                <w:color w:val="000000"/>
                <w:szCs w:val="21"/>
              </w:rPr>
              <w:t>毛泽东思想</w:t>
            </w:r>
            <w:r>
              <w:rPr>
                <w:rFonts w:hint="eastAsia" w:ascii="仿宋_GB2312" w:hAnsi="宋体" w:eastAsia="仿宋_GB2312"/>
                <w:color w:val="000000"/>
                <w:szCs w:val="21"/>
              </w:rPr>
              <w:t>、社会主义的本质、社会主义初级阶段理论、社会主义改革和对外开放理论、建设中国特色社会主义经济、政治、文化、社会理论、祖国统一和外交政策、建设中国特色社会主义的依靠力量和领导力量、</w:t>
            </w:r>
            <w:r>
              <w:rPr>
                <w:rFonts w:ascii="仿宋_GB2312" w:hAnsi="宋体" w:eastAsia="仿宋_GB2312"/>
                <w:color w:val="000000"/>
                <w:szCs w:val="21"/>
              </w:rPr>
              <w:t>社会主义</w:t>
            </w:r>
            <w:r>
              <w:rPr>
                <w:rFonts w:hint="eastAsia" w:ascii="仿宋_GB2312" w:hAnsi="宋体" w:eastAsia="仿宋_GB2312"/>
                <w:color w:val="000000"/>
                <w:szCs w:val="21"/>
              </w:rPr>
              <w:t>核心价值体系、共产主义远大理想和马克思主义信念、中华民族</w:t>
            </w:r>
            <w:r>
              <w:rPr>
                <w:rFonts w:ascii="仿宋_GB2312" w:hAnsi="宋体" w:eastAsia="仿宋_GB2312"/>
                <w:color w:val="000000"/>
                <w:szCs w:val="21"/>
              </w:rPr>
              <w:t>爱国传统</w:t>
            </w:r>
            <w:r>
              <w:rPr>
                <w:rFonts w:hint="eastAsia" w:ascii="仿宋_GB2312" w:hAnsi="宋体" w:eastAsia="仿宋_GB2312"/>
                <w:color w:val="000000"/>
                <w:szCs w:val="21"/>
              </w:rPr>
              <w:t>和</w:t>
            </w:r>
            <w:r>
              <w:rPr>
                <w:rFonts w:ascii="仿宋_GB2312" w:hAnsi="宋体" w:eastAsia="仿宋_GB2312"/>
                <w:color w:val="000000"/>
                <w:szCs w:val="21"/>
              </w:rPr>
              <w:t>民族精神</w:t>
            </w:r>
            <w:r>
              <w:rPr>
                <w:rFonts w:hint="eastAsia" w:ascii="仿宋_GB2312" w:hAnsi="宋体" w:eastAsia="仿宋_GB2312"/>
                <w:color w:val="000000"/>
                <w:szCs w:val="21"/>
              </w:rPr>
              <w:t>、正确的人生观、价值观、社会主义道德规范和道德建设、社会主义法律内涵和精神、</w:t>
            </w:r>
            <w:r>
              <w:rPr>
                <w:rFonts w:ascii="仿宋_GB2312" w:hAnsi="宋体" w:eastAsia="仿宋_GB2312"/>
                <w:color w:val="000000"/>
                <w:szCs w:val="21"/>
              </w:rPr>
              <w:t>我国宪法的基本制度、实体法律制度</w:t>
            </w:r>
            <w:r>
              <w:rPr>
                <w:rFonts w:hint="eastAsia" w:ascii="仿宋_GB2312" w:hAnsi="宋体" w:eastAsia="仿宋_GB2312"/>
                <w:color w:val="000000"/>
                <w:szCs w:val="21"/>
              </w:rPr>
              <w:t>和</w:t>
            </w:r>
            <w:r>
              <w:rPr>
                <w:rFonts w:ascii="仿宋_GB2312" w:hAnsi="宋体" w:eastAsia="仿宋_GB2312"/>
                <w:color w:val="000000"/>
                <w:szCs w:val="21"/>
              </w:rPr>
              <w:t>程序法律制度</w:t>
            </w:r>
            <w:r>
              <w:rPr>
                <w:rFonts w:hint="eastAsia" w:ascii="仿宋_GB2312" w:hAnsi="宋体" w:eastAsia="仿宋_GB2312"/>
                <w:color w:val="000000"/>
                <w:szCs w:val="21"/>
              </w:rPr>
              <w:t>国际、国内形势专题、社会热点、方针政策</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毛泽东思想和中国特色社会主义理论体系概论、思想品德修养与法律基础、形势与政策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896" w:hRule="atLeast"/>
          <w:jc w:val="center"/>
        </w:trPr>
        <w:tc>
          <w:tcPr>
            <w:tcW w:w="1367" w:type="dxa"/>
            <w:vMerge w:val="continue"/>
            <w:tcBorders>
              <w:left w:val="single" w:color="auto" w:sz="12" w:space="0"/>
              <w:right w:val="single" w:color="auto" w:sz="8" w:space="0"/>
            </w:tcBorders>
            <w:vAlign w:val="center"/>
          </w:tcPr>
          <w:p>
            <w:pPr>
              <w:widowControl/>
              <w:tabs>
                <w:tab w:val="left" w:pos="-234"/>
                <w:tab w:val="left" w:pos="0"/>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jc w:val="left"/>
              <w:rPr>
                <w:rFonts w:hint="eastAsia" w:ascii="仿宋_GB2312" w:hAnsi="宋体" w:eastAsia="仿宋_GB2312"/>
                <w:color w:val="000000"/>
                <w:szCs w:val="21"/>
              </w:rPr>
            </w:pPr>
            <w:r>
              <w:rPr>
                <w:rFonts w:hint="eastAsia" w:eastAsia="仿宋_GB2312"/>
                <w:color w:val="000000"/>
                <w:szCs w:val="21"/>
              </w:rPr>
              <w:t>英文阅读理解、英文书面表达、英文听力和口语、英文翻译、英语语言文化基础、英语综合应用</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 w:val="left" w:pos="0"/>
              </w:tabs>
              <w:jc w:val="left"/>
              <w:rPr>
                <w:rFonts w:hint="eastAsia" w:ascii="仿宋_GB2312" w:hAnsi="宋体" w:eastAsia="仿宋_GB2312"/>
                <w:color w:val="000000"/>
                <w:szCs w:val="21"/>
              </w:rPr>
            </w:pPr>
            <w:r>
              <w:rPr>
                <w:rFonts w:hint="eastAsia" w:eastAsia="仿宋_GB2312"/>
                <w:color w:val="000000"/>
                <w:szCs w:val="21"/>
              </w:rPr>
              <w:t>大学英语、专业英语、双语课程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1217" w:hRule="atLeast"/>
          <w:jc w:val="center"/>
        </w:trPr>
        <w:tc>
          <w:tcPr>
            <w:tcW w:w="1367" w:type="dxa"/>
            <w:vMerge w:val="continue"/>
            <w:tcBorders>
              <w:left w:val="single" w:color="auto" w:sz="12" w:space="0"/>
              <w:right w:val="single" w:color="auto" w:sz="8" w:space="0"/>
            </w:tcBorders>
            <w:vAlign w:val="center"/>
          </w:tcPr>
          <w:p>
            <w:pPr>
              <w:widowControl/>
              <w:tabs>
                <w:tab w:val="left" w:pos="-234"/>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jc w:val="left"/>
              <w:rPr>
                <w:rFonts w:hint="eastAsia" w:ascii="仿宋_GB2312" w:hAnsi="宋体" w:eastAsia="仿宋_GB2312"/>
                <w:color w:val="000000"/>
                <w:szCs w:val="21"/>
              </w:rPr>
            </w:pPr>
            <w:r>
              <w:rPr>
                <w:rFonts w:hint="eastAsia" w:ascii="仿宋_GB2312" w:hAnsi="宋体" w:eastAsia="仿宋_GB2312"/>
                <w:color w:val="000000"/>
                <w:szCs w:val="21"/>
              </w:rPr>
              <w:t>书法基础、旅游文化、情绪管理、语言的艺术等；文献检索、科技文章撰写等；音乐欣赏、形体与舞蹈等</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 w:val="left" w:pos="0"/>
              </w:tabs>
              <w:jc w:val="left"/>
              <w:rPr>
                <w:rFonts w:hint="eastAsia" w:ascii="仿宋_GB2312" w:hAnsi="宋体" w:eastAsia="仿宋_GB2312"/>
                <w:color w:val="000000"/>
                <w:szCs w:val="21"/>
              </w:rPr>
            </w:pPr>
            <w:r>
              <w:rPr>
                <w:rFonts w:hint="eastAsia" w:ascii="仿宋_GB2312" w:hAnsi="宋体" w:eastAsia="仿宋_GB2312"/>
                <w:color w:val="000000"/>
                <w:szCs w:val="21"/>
              </w:rPr>
              <w:t>人文素养类、科学素养类、艺术素养类选修课</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915" w:hRule="atLeast"/>
          <w:jc w:val="center"/>
        </w:trPr>
        <w:tc>
          <w:tcPr>
            <w:tcW w:w="1367" w:type="dxa"/>
            <w:vMerge w:val="continue"/>
            <w:tcBorders>
              <w:left w:val="single" w:color="auto" w:sz="12" w:space="0"/>
              <w:right w:val="single" w:color="auto" w:sz="8" w:space="0"/>
            </w:tcBorders>
            <w:vAlign w:val="center"/>
          </w:tcPr>
          <w:p>
            <w:pPr>
              <w:widowControl/>
              <w:tabs>
                <w:tab w:val="left" w:pos="-234"/>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jc w:val="left"/>
              <w:rPr>
                <w:rFonts w:ascii="仿宋_GB2312" w:hAnsi="宋体" w:eastAsia="仿宋_GB2312"/>
                <w:color w:val="000000"/>
                <w:szCs w:val="21"/>
              </w:rPr>
            </w:pPr>
            <w:r>
              <w:rPr>
                <w:rFonts w:ascii="仿宋_GB2312" w:hAnsi="宋体" w:eastAsia="仿宋_GB2312"/>
                <w:color w:val="000000"/>
                <w:szCs w:val="21"/>
              </w:rPr>
              <w:t>常用体育常识、几种运动项目的动作要领、日常锻炼的方法与注意事项等</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pStyle w:val="2"/>
              <w:snapToGrid w:val="0"/>
              <w:spacing w:before="0" w:beforeAutospacing="0" w:after="0" w:afterAutospacing="0" w:line="288" w:lineRule="auto"/>
              <w:ind w:firstLine="420"/>
              <w:jc w:val="both"/>
              <w:rPr>
                <w:rFonts w:ascii="仿宋_GB2312" w:eastAsia="仿宋_GB2312"/>
                <w:color w:val="000000"/>
                <w:kern w:val="2"/>
                <w:sz w:val="21"/>
                <w:szCs w:val="21"/>
              </w:rPr>
            </w:pPr>
            <w:r>
              <w:rPr>
                <w:rFonts w:ascii="仿宋_GB2312" w:eastAsia="仿宋_GB2312"/>
                <w:color w:val="000000"/>
                <w:kern w:val="2"/>
                <w:sz w:val="21"/>
                <w:szCs w:val="21"/>
              </w:rPr>
              <w:t>体育</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915" w:hRule="atLeast"/>
          <w:jc w:val="center"/>
        </w:trPr>
        <w:tc>
          <w:tcPr>
            <w:tcW w:w="1367" w:type="dxa"/>
            <w:vMerge w:val="continue"/>
            <w:tcBorders>
              <w:left w:val="single" w:color="auto" w:sz="12" w:space="0"/>
              <w:bottom w:val="single" w:color="auto" w:sz="8" w:space="0"/>
              <w:right w:val="single" w:color="auto" w:sz="8" w:space="0"/>
            </w:tcBorders>
            <w:vAlign w:val="center"/>
          </w:tcPr>
          <w:p>
            <w:pPr>
              <w:widowControl/>
              <w:tabs>
                <w:tab w:val="left" w:pos="-234"/>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jc w:val="left"/>
              <w:rPr>
                <w:rFonts w:hint="eastAsia" w:ascii="仿宋_GB2312" w:hAnsi="宋体" w:eastAsia="仿宋_GB2312"/>
                <w:color w:val="FF0000"/>
                <w:szCs w:val="21"/>
              </w:rPr>
            </w:pPr>
            <w:r>
              <w:rPr>
                <w:rFonts w:hint="eastAsia" w:ascii="仿宋_GB2312" w:hAnsi="宋体" w:eastAsia="仿宋_GB2312"/>
                <w:szCs w:val="21"/>
              </w:rPr>
              <w:t>社会调查设计、数据分析与处理、公文处理、人际沟通与合作、方案设计与落实、区域文化差异比较</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 w:val="left" w:pos="0"/>
              </w:tabs>
              <w:jc w:val="left"/>
              <w:rPr>
                <w:rFonts w:hint="eastAsia" w:ascii="仿宋_GB2312" w:hAnsi="宋体" w:eastAsia="仿宋_GB2312"/>
                <w:color w:val="000000"/>
                <w:szCs w:val="21"/>
              </w:rPr>
            </w:pPr>
            <w:r>
              <w:rPr>
                <w:rFonts w:hint="eastAsia" w:ascii="仿宋_GB2312" w:hAnsi="宋体" w:eastAsia="仿宋_GB2312"/>
                <w:color w:val="000000"/>
                <w:szCs w:val="21"/>
              </w:rPr>
              <w:t>社会考察、社会实践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2457" w:hRule="atLeast"/>
          <w:jc w:val="center"/>
        </w:trPr>
        <w:tc>
          <w:tcPr>
            <w:tcW w:w="1367" w:type="dxa"/>
            <w:vMerge w:val="restart"/>
            <w:tcBorders>
              <w:top w:val="single" w:color="auto" w:sz="8" w:space="0"/>
              <w:left w:val="single" w:color="auto" w:sz="12" w:space="0"/>
              <w:right w:val="single" w:color="auto" w:sz="8" w:space="0"/>
            </w:tcBorders>
            <w:vAlign w:val="center"/>
          </w:tcPr>
          <w:p>
            <w:pPr>
              <w:pStyle w:val="2"/>
              <w:snapToGrid w:val="0"/>
              <w:spacing w:line="288" w:lineRule="auto"/>
              <w:jc w:val="both"/>
              <w:rPr>
                <w:rFonts w:hint="eastAsia" w:ascii="Times New Roman"/>
                <w:b/>
                <w:sz w:val="21"/>
                <w:szCs w:val="21"/>
              </w:rPr>
            </w:pPr>
            <w:r>
              <w:rPr>
                <w:rFonts w:ascii="Times New Roman"/>
                <w:b/>
                <w:sz w:val="21"/>
                <w:szCs w:val="21"/>
              </w:rPr>
              <w:t>专业</w:t>
            </w:r>
            <w:r>
              <w:rPr>
                <w:rFonts w:hint="eastAsia" w:ascii="Times New Roman"/>
                <w:b/>
                <w:sz w:val="21"/>
                <w:szCs w:val="21"/>
              </w:rPr>
              <w:t>能力素质</w:t>
            </w:r>
          </w:p>
          <w:p>
            <w:pPr>
              <w:widowControl/>
              <w:tabs>
                <w:tab w:val="left" w:pos="-234"/>
              </w:tabs>
              <w:rPr>
                <w:rFonts w:hint="eastAsia" w:ascii="仿宋_GB2312" w:hAnsi="宋体" w:eastAsia="仿宋_GB2312"/>
                <w:color w:val="000000"/>
                <w:szCs w:val="21"/>
              </w:rPr>
            </w:pPr>
            <w:r>
              <w:rPr>
                <w:rFonts w:hint="eastAsia" w:eastAsia="仿宋_GB2312"/>
                <w:color w:val="000000"/>
                <w:szCs w:val="21"/>
              </w:rPr>
              <w:t>（包括</w:t>
            </w:r>
            <w:r>
              <w:rPr>
                <w:rFonts w:eastAsia="仿宋_GB2312"/>
                <w:color w:val="000000"/>
                <w:szCs w:val="21"/>
              </w:rPr>
              <w:t>学科基</w:t>
            </w:r>
            <w:r>
              <w:rPr>
                <w:rFonts w:hint="eastAsia" w:eastAsia="仿宋_GB2312"/>
                <w:color w:val="000000"/>
                <w:szCs w:val="21"/>
              </w:rPr>
              <w:t>础、</w:t>
            </w:r>
            <w:r>
              <w:rPr>
                <w:rFonts w:eastAsia="仿宋_GB2312"/>
                <w:color w:val="000000"/>
                <w:szCs w:val="21"/>
              </w:rPr>
              <w:t>专业基础</w:t>
            </w:r>
            <w:r>
              <w:rPr>
                <w:rFonts w:hint="eastAsia" w:eastAsia="仿宋_GB2312"/>
                <w:color w:val="000000"/>
                <w:szCs w:val="21"/>
              </w:rPr>
              <w:t>、</w:t>
            </w:r>
            <w:r>
              <w:rPr>
                <w:rFonts w:eastAsia="仿宋_GB2312"/>
                <w:color w:val="000000"/>
                <w:szCs w:val="21"/>
              </w:rPr>
              <w:t>专业拓展</w:t>
            </w:r>
            <w:r>
              <w:rPr>
                <w:rFonts w:hint="eastAsia" w:eastAsia="仿宋_GB2312"/>
                <w:color w:val="000000"/>
                <w:szCs w:val="21"/>
              </w:rPr>
              <w:t>等方面的能力</w:t>
            </w:r>
            <w:r>
              <w:rPr>
                <w:rFonts w:eastAsia="仿宋_GB2312"/>
                <w:color w:val="000000"/>
                <w:szCs w:val="21"/>
              </w:rPr>
              <w:t>素质</w:t>
            </w:r>
            <w:r>
              <w:rPr>
                <w:rFonts w:hint="eastAsia" w:eastAsia="仿宋_GB2312"/>
                <w:color w:val="000000"/>
                <w:szCs w:val="21"/>
              </w:rPr>
              <w:t>）</w:t>
            </w: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 w:val="left" w:pos="0"/>
              </w:tabs>
              <w:rPr>
                <w:rFonts w:hint="eastAsia" w:ascii="仿宋_GB2312" w:hAnsi="宋体" w:eastAsia="仿宋_GB2312"/>
                <w:color w:val="000000"/>
                <w:szCs w:val="21"/>
              </w:rPr>
            </w:pPr>
            <w:r>
              <w:rPr>
                <w:rFonts w:hint="eastAsia" w:ascii="仿宋_GB2312" w:hAnsi="宋体" w:eastAsia="仿宋_GB2312"/>
                <w:szCs w:val="21"/>
              </w:rPr>
              <w:t>管理活动与管理理论、道德与社会责任、决策与信息、计划工作、组织工作、人员与领导、控制工作、管理的创新职能、社会结构论、社会行为论、社会控制论和社会发展论、国家、国家形式、政党、政治发展、行政的基本理论与制度设计、行政的运作过程、行政的行为选择、公共关系原则、公共关系组织机构、公共关系策划、公共关系广告、公共关系演讲、公共关系谈判、公共关系社交礼仪</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 w:val="left" w:pos="0"/>
              </w:tabs>
              <w:rPr>
                <w:rFonts w:hint="eastAsia" w:ascii="仿宋_GB2312" w:hAnsi="宋体" w:eastAsia="仿宋_GB2312"/>
                <w:color w:val="000000"/>
                <w:szCs w:val="21"/>
              </w:rPr>
            </w:pPr>
            <w:r>
              <w:rPr>
                <w:rFonts w:hint="eastAsia" w:ascii="仿宋_GB2312" w:hAnsi="宋体" w:eastAsia="仿宋_GB2312"/>
                <w:szCs w:val="21"/>
              </w:rPr>
              <w:t>管理学、社会学、政治学、行政管理学、公共关系学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3719" w:hRule="atLeast"/>
          <w:jc w:val="center"/>
        </w:trPr>
        <w:tc>
          <w:tcPr>
            <w:tcW w:w="1367" w:type="dxa"/>
            <w:vMerge w:val="continue"/>
            <w:tcBorders>
              <w:left w:val="single" w:color="auto" w:sz="12" w:space="0"/>
              <w:right w:val="single" w:color="auto" w:sz="8" w:space="0"/>
            </w:tcBorders>
            <w:textDirection w:val="tbRlV"/>
            <w:vAlign w:val="center"/>
          </w:tcPr>
          <w:p>
            <w:pPr>
              <w:widowControl/>
              <w:tabs>
                <w:tab w:val="left" w:pos="-234"/>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tabs>
                <w:tab w:val="left" w:pos="-234"/>
              </w:tabs>
              <w:rPr>
                <w:rFonts w:hint="eastAsia" w:ascii="仿宋_GB2312" w:hAnsi="宋体" w:eastAsia="仿宋_GB2312"/>
                <w:color w:val="000000"/>
                <w:szCs w:val="21"/>
              </w:rPr>
            </w:pPr>
            <w:r>
              <w:rPr>
                <w:rFonts w:hint="eastAsia" w:ascii="仿宋_GB2312" w:hAnsi="宋体" w:eastAsia="仿宋_GB2312"/>
                <w:szCs w:val="21"/>
              </w:rPr>
              <w:t>人力资源计划、获取、开发与培训、员工业绩评估、员工报酬及激励、员工关系、人力资源保护、人力资源流动、社会保障的内涵与外延、老年社会保障、劳动社会保障、医疗社会保障、社会救助、社会福利、军人社会保障、</w:t>
            </w:r>
            <w:r>
              <w:rPr>
                <w:rFonts w:hint="eastAsia" w:ascii="仿宋_GB2312" w:eastAsia="仿宋_GB2312"/>
                <w:spacing w:val="8"/>
              </w:rPr>
              <w:t>公共政策的定义、特性、类别及功能，公共政策与政府、环境、公共利益的关系、一般的政策过程、政策分析的基本方法、城市与城市化、城市基础设施管理、城市公共经济管理、城市房地产管理、行政主体、各种具体行政行为和抽象行政行为、行政程序、行政诉讼、行政赔偿、公共伦理的基本原则、公共伦理的层次、规范与范畴、公共行为的伦理选择、公共伦理修养及养成机制、公共伦理的制度建设</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tabs>
                <w:tab w:val="left" w:pos="-234"/>
              </w:tabs>
              <w:rPr>
                <w:rFonts w:hint="eastAsia" w:ascii="仿宋_GB2312" w:hAnsi="宋体" w:eastAsia="仿宋_GB2312"/>
                <w:color w:val="000000"/>
                <w:szCs w:val="21"/>
              </w:rPr>
            </w:pPr>
            <w:r>
              <w:rPr>
                <w:rFonts w:hint="eastAsia" w:ascii="仿宋_GB2312" w:hAnsi="宋体" w:eastAsia="仿宋_GB2312"/>
                <w:szCs w:val="21"/>
              </w:rPr>
              <w:t xml:space="preserve">人力资源管理、社会保障概论、公共政策学、市政管理学、行政法学、公共伦理学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2012" w:hRule="atLeast"/>
          <w:jc w:val="center"/>
        </w:trPr>
        <w:tc>
          <w:tcPr>
            <w:tcW w:w="1367" w:type="dxa"/>
            <w:vMerge w:val="continue"/>
            <w:tcBorders>
              <w:left w:val="single" w:color="auto" w:sz="12" w:space="0"/>
              <w:right w:val="single" w:color="auto" w:sz="8" w:space="0"/>
            </w:tcBorders>
            <w:textDirection w:val="tbRlV"/>
            <w:vAlign w:val="center"/>
          </w:tcPr>
          <w:p>
            <w:pPr>
              <w:widowControl/>
              <w:tabs>
                <w:tab w:val="left" w:pos="-234"/>
              </w:tabs>
              <w:jc w:val="left"/>
              <w:rPr>
                <w:rFonts w:hint="eastAsia" w:ascii="仿宋_GB2312" w:hAnsi="宋体" w:eastAsia="仿宋_GB2312"/>
                <w:color w:val="000000"/>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rPr>
                <w:rFonts w:hint="eastAsia" w:ascii="仿宋_GB2312" w:hAnsi="宋体" w:eastAsia="仿宋_GB2312"/>
                <w:color w:val="000000"/>
                <w:szCs w:val="21"/>
              </w:rPr>
            </w:pPr>
            <w:r>
              <w:rPr>
                <w:rFonts w:hint="eastAsia" w:ascii="仿宋_GB2312" w:hAnsi="宋体" w:eastAsia="仿宋_GB2312"/>
                <w:szCs w:val="21"/>
              </w:rPr>
              <w:t>西方国家的宪法制度、政党制度、选举制度、议会制度、元首制度、政府制度、司法制度、西方国家政治制度构建的基础、元首、选举、政党、议会、公务员、政府、法院、公务员的法律关系与法治、公务员录用、考核、奖惩、职务升降、任职与免职、培训、保险与福利、辞职、辞退与退休、监管机制、高素质的公务员队伍建设</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rPr>
                <w:rFonts w:hint="eastAsia" w:ascii="仿宋_GB2312" w:hAnsi="宋体" w:eastAsia="仿宋_GB2312"/>
                <w:color w:val="000000"/>
                <w:szCs w:val="21"/>
              </w:rPr>
            </w:pPr>
            <w:r>
              <w:rPr>
                <w:rFonts w:hint="eastAsia" w:ascii="仿宋_GB2312" w:hAnsi="宋体" w:eastAsia="仿宋_GB2312"/>
                <w:szCs w:val="21"/>
              </w:rPr>
              <w:t>西方政治制度、国家公务员制度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1529" w:hRule="atLeast"/>
          <w:jc w:val="center"/>
        </w:trPr>
        <w:tc>
          <w:tcPr>
            <w:tcW w:w="1367" w:type="dxa"/>
            <w:vMerge w:val="restart"/>
            <w:tcBorders>
              <w:top w:val="single" w:color="auto" w:sz="4" w:space="0"/>
              <w:left w:val="single" w:color="auto" w:sz="12" w:space="0"/>
              <w:right w:val="single" w:color="auto" w:sz="8" w:space="0"/>
            </w:tcBorders>
            <w:vAlign w:val="center"/>
          </w:tcPr>
          <w:p>
            <w:pPr>
              <w:pStyle w:val="2"/>
              <w:snapToGrid w:val="0"/>
              <w:spacing w:before="0" w:beforeAutospacing="0" w:after="0" w:afterAutospacing="0" w:line="288" w:lineRule="auto"/>
              <w:jc w:val="center"/>
              <w:rPr>
                <w:rFonts w:hint="eastAsia" w:ascii="Times New Roman"/>
                <w:b/>
                <w:sz w:val="21"/>
                <w:szCs w:val="21"/>
              </w:rPr>
            </w:pPr>
            <w:r>
              <w:rPr>
                <w:rFonts w:ascii="Times New Roman"/>
                <w:b/>
                <w:sz w:val="21"/>
                <w:szCs w:val="21"/>
              </w:rPr>
              <w:t>职业</w:t>
            </w:r>
            <w:r>
              <w:rPr>
                <w:rFonts w:hint="eastAsia" w:ascii="Times New Roman"/>
                <w:b/>
                <w:sz w:val="21"/>
                <w:szCs w:val="21"/>
              </w:rPr>
              <w:t>能力素质</w:t>
            </w:r>
          </w:p>
          <w:p>
            <w:pPr>
              <w:widowControl/>
              <w:jc w:val="left"/>
              <w:rPr>
                <w:rFonts w:hint="eastAsia" w:ascii="仿宋_GB2312" w:hAnsi="宋体" w:eastAsia="仿宋_GB2312"/>
                <w:color w:val="000000"/>
                <w:szCs w:val="21"/>
              </w:rPr>
            </w:pPr>
            <w:r>
              <w:rPr>
                <w:rFonts w:hint="eastAsia" w:ascii="仿宋_GB2312" w:hAnsi="宋体" w:eastAsia="仿宋_GB2312"/>
                <w:color w:val="000000"/>
                <w:szCs w:val="21"/>
              </w:rPr>
              <w:t>（包括</w:t>
            </w:r>
            <w:r>
              <w:rPr>
                <w:rFonts w:ascii="仿宋_GB2312" w:hAnsi="宋体" w:eastAsia="仿宋_GB2312"/>
                <w:color w:val="000000"/>
                <w:szCs w:val="21"/>
              </w:rPr>
              <w:t>职业规划</w:t>
            </w:r>
            <w:r>
              <w:rPr>
                <w:rFonts w:hint="eastAsia" w:ascii="仿宋_GB2312" w:hAnsi="宋体" w:eastAsia="仿宋_GB2312"/>
                <w:color w:val="000000"/>
                <w:szCs w:val="21"/>
              </w:rPr>
              <w:t>、</w:t>
            </w:r>
            <w:r>
              <w:rPr>
                <w:rFonts w:ascii="仿宋_GB2312" w:hAnsi="宋体" w:eastAsia="仿宋_GB2312"/>
                <w:color w:val="000000"/>
                <w:szCs w:val="21"/>
              </w:rPr>
              <w:t>行业实践</w:t>
            </w:r>
            <w:r>
              <w:rPr>
                <w:rFonts w:hint="eastAsia" w:ascii="仿宋_GB2312" w:hAnsi="宋体" w:eastAsia="仿宋_GB2312"/>
                <w:color w:val="000000"/>
                <w:szCs w:val="21"/>
              </w:rPr>
              <w:t>、</w:t>
            </w:r>
            <w:r>
              <w:rPr>
                <w:rFonts w:ascii="仿宋_GB2312" w:hAnsi="宋体" w:eastAsia="仿宋_GB2312"/>
                <w:color w:val="000000"/>
                <w:szCs w:val="21"/>
              </w:rPr>
              <w:t>职业素养</w:t>
            </w:r>
            <w:r>
              <w:rPr>
                <w:rFonts w:hint="eastAsia" w:ascii="仿宋_GB2312" w:hAnsi="宋体" w:eastAsia="仿宋_GB2312"/>
                <w:color w:val="000000"/>
                <w:szCs w:val="21"/>
              </w:rPr>
              <w:t>等方面的能力</w:t>
            </w:r>
            <w:r>
              <w:rPr>
                <w:rFonts w:ascii="仿宋_GB2312" w:hAnsi="宋体" w:eastAsia="仿宋_GB2312"/>
                <w:color w:val="000000"/>
                <w:szCs w:val="21"/>
              </w:rPr>
              <w:t>素质</w:t>
            </w:r>
            <w:r>
              <w:rPr>
                <w:rFonts w:hint="eastAsia" w:ascii="仿宋_GB2312" w:hAnsi="宋体" w:eastAsia="仿宋_GB2312"/>
                <w:color w:val="000000"/>
                <w:szCs w:val="21"/>
              </w:rPr>
              <w:t>）</w:t>
            </w:r>
          </w:p>
        </w:tc>
        <w:tc>
          <w:tcPr>
            <w:tcW w:w="5580" w:type="dxa"/>
            <w:tcBorders>
              <w:top w:val="single" w:color="auto" w:sz="8" w:space="0"/>
              <w:left w:val="single" w:color="auto" w:sz="8" w:space="0"/>
              <w:bottom w:val="single" w:color="auto" w:sz="8" w:space="0"/>
              <w:right w:val="single" w:color="auto" w:sz="8" w:space="0"/>
            </w:tcBorders>
            <w:vAlign w:val="center"/>
          </w:tcPr>
          <w:p>
            <w:pPr>
              <w:snapToGrid w:val="0"/>
              <w:spacing w:line="288" w:lineRule="auto"/>
              <w:rPr>
                <w:rFonts w:ascii="仿宋_GB2312" w:hAnsi="宋体" w:eastAsia="仿宋_GB2312"/>
                <w:color w:val="000000"/>
                <w:szCs w:val="21"/>
              </w:rPr>
            </w:pPr>
            <w:r>
              <w:rPr>
                <w:rFonts w:ascii="仿宋_GB2312" w:hAnsi="宋体" w:eastAsia="仿宋_GB2312"/>
                <w:color w:val="000000"/>
                <w:szCs w:val="21"/>
              </w:rPr>
              <w:t>职业生涯规划基础、探索自我、探索职业世界、职业生涯规划实务、大学生能力素质训练方法、就业形势与政策法规、大学生求职策略与技巧、职业决策与就业心理调适、创业政策解读、职业适应等</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pStyle w:val="2"/>
              <w:snapToGrid w:val="0"/>
              <w:spacing w:before="0" w:beforeAutospacing="0" w:after="0" w:afterAutospacing="0" w:line="288" w:lineRule="auto"/>
              <w:jc w:val="both"/>
              <w:rPr>
                <w:rFonts w:ascii="仿宋_GB2312" w:eastAsia="仿宋_GB2312"/>
                <w:color w:val="000000"/>
                <w:kern w:val="2"/>
                <w:sz w:val="21"/>
                <w:szCs w:val="21"/>
              </w:rPr>
            </w:pPr>
            <w:r>
              <w:rPr>
                <w:rFonts w:ascii="仿宋_GB2312" w:eastAsia="仿宋_GB2312"/>
                <w:color w:val="000000"/>
                <w:kern w:val="2"/>
                <w:sz w:val="21"/>
                <w:szCs w:val="21"/>
              </w:rPr>
              <w:t>大学生职业</w:t>
            </w:r>
            <w:r>
              <w:rPr>
                <w:rFonts w:hint="eastAsia" w:ascii="仿宋_GB2312" w:eastAsia="仿宋_GB2312"/>
                <w:color w:val="000000"/>
                <w:kern w:val="2"/>
                <w:sz w:val="21"/>
                <w:szCs w:val="21"/>
              </w:rPr>
              <w:t>发展</w:t>
            </w:r>
            <w:r>
              <w:rPr>
                <w:rFonts w:ascii="仿宋_GB2312" w:eastAsia="仿宋_GB2312"/>
                <w:color w:val="000000"/>
                <w:kern w:val="2"/>
                <w:sz w:val="21"/>
                <w:szCs w:val="21"/>
              </w:rPr>
              <w:t>与就业指导</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618" w:hRule="atLeast"/>
          <w:jc w:val="center"/>
        </w:trPr>
        <w:tc>
          <w:tcPr>
            <w:tcW w:w="1367" w:type="dxa"/>
            <w:vMerge w:val="continue"/>
            <w:tcBorders>
              <w:left w:val="single" w:color="auto" w:sz="12" w:space="0"/>
              <w:right w:val="single" w:color="auto" w:sz="8" w:space="0"/>
            </w:tcBorders>
            <w:vAlign w:val="center"/>
          </w:tcPr>
          <w:p>
            <w:pPr>
              <w:pStyle w:val="2"/>
              <w:snapToGrid w:val="0"/>
              <w:spacing w:before="0" w:beforeAutospacing="0" w:after="0" w:afterAutospacing="0" w:line="288" w:lineRule="auto"/>
              <w:ind w:firstLine="422"/>
              <w:jc w:val="center"/>
              <w:rPr>
                <w:rFonts w:ascii="Times New Roman"/>
                <w:b/>
                <w:sz w:val="21"/>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rPr>
                <w:rFonts w:hint="eastAsia" w:ascii="仿宋_GB2312" w:hAnsi="宋体" w:eastAsia="仿宋_GB2312"/>
                <w:color w:val="FF0000"/>
                <w:szCs w:val="21"/>
              </w:rPr>
            </w:pPr>
            <w:r>
              <w:rPr>
                <w:rFonts w:hint="eastAsia" w:ascii="仿宋_GB2312" w:hAnsi="宋体" w:eastAsia="仿宋_GB2312"/>
                <w:szCs w:val="21"/>
              </w:rPr>
              <w:t>人力资源计划、获取、开发与培训、员工业绩评估、员工报酬及激励</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rPr>
                <w:rFonts w:hint="eastAsia" w:ascii="仿宋_GB2312" w:hAnsi="宋体" w:eastAsia="仿宋_GB2312"/>
                <w:szCs w:val="21"/>
              </w:rPr>
            </w:pPr>
            <w:r>
              <w:rPr>
                <w:rFonts w:hint="eastAsia" w:ascii="仿宋_GB2312" w:hAnsi="宋体" w:eastAsia="仿宋_GB2312"/>
                <w:szCs w:val="21"/>
              </w:rPr>
              <w:t>毕业实习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Ex>
        <w:trPr>
          <w:cantSplit/>
          <w:trHeight w:val="906" w:hRule="atLeast"/>
          <w:jc w:val="center"/>
        </w:trPr>
        <w:tc>
          <w:tcPr>
            <w:tcW w:w="1367" w:type="dxa"/>
            <w:vMerge w:val="continue"/>
            <w:tcBorders>
              <w:left w:val="single" w:color="auto" w:sz="12" w:space="0"/>
              <w:right w:val="single" w:color="auto" w:sz="8" w:space="0"/>
            </w:tcBorders>
            <w:vAlign w:val="center"/>
          </w:tcPr>
          <w:p>
            <w:pPr>
              <w:pStyle w:val="2"/>
              <w:snapToGrid w:val="0"/>
              <w:spacing w:before="0" w:beforeAutospacing="0" w:after="0" w:afterAutospacing="0" w:line="288" w:lineRule="auto"/>
              <w:ind w:firstLine="422"/>
              <w:jc w:val="center"/>
              <w:rPr>
                <w:rFonts w:ascii="Times New Roman"/>
                <w:b/>
                <w:sz w:val="21"/>
                <w:szCs w:val="21"/>
              </w:rPr>
            </w:pPr>
          </w:p>
        </w:tc>
        <w:tc>
          <w:tcPr>
            <w:tcW w:w="5580" w:type="dxa"/>
            <w:tcBorders>
              <w:top w:val="single" w:color="auto" w:sz="8" w:space="0"/>
              <w:left w:val="single" w:color="auto" w:sz="8" w:space="0"/>
              <w:bottom w:val="single" w:color="auto" w:sz="8" w:space="0"/>
              <w:right w:val="single" w:color="auto" w:sz="8" w:space="0"/>
            </w:tcBorders>
            <w:vAlign w:val="center"/>
          </w:tcPr>
          <w:p>
            <w:pPr>
              <w:widowControl/>
              <w:rPr>
                <w:rFonts w:hint="eastAsia" w:ascii="仿宋_GB2312" w:hAnsi="宋体" w:eastAsia="仿宋_GB2312"/>
                <w:color w:val="FF0000"/>
                <w:szCs w:val="21"/>
              </w:rPr>
            </w:pPr>
            <w:r>
              <w:rPr>
                <w:rFonts w:hint="eastAsia" w:ascii="仿宋_GB2312" w:hAnsi="宋体" w:eastAsia="仿宋_GB2312"/>
                <w:szCs w:val="21"/>
              </w:rPr>
              <w:t>面试的策略和技巧、</w:t>
            </w:r>
            <w:r>
              <w:rPr>
                <w:rFonts w:hint="eastAsia" w:ascii="仿宋_GB2312" w:hAnsi="宋体" w:eastAsia="仿宋_GB2312"/>
              </w:rPr>
              <w:t>营销策划方案的拟定、调查市场态势、整理资料情报、目标营销策划新的创意、选择可行方案</w:t>
            </w:r>
          </w:p>
        </w:tc>
        <w:tc>
          <w:tcPr>
            <w:tcW w:w="1933" w:type="dxa"/>
            <w:tcBorders>
              <w:top w:val="single" w:color="auto" w:sz="8" w:space="0"/>
              <w:left w:val="single" w:color="auto" w:sz="8" w:space="0"/>
              <w:bottom w:val="single" w:color="auto" w:sz="8" w:space="0"/>
              <w:right w:val="single" w:color="auto" w:sz="12" w:space="0"/>
            </w:tcBorders>
            <w:tcMar>
              <w:top w:w="0" w:type="dxa"/>
              <w:left w:w="57" w:type="dxa"/>
              <w:bottom w:w="0" w:type="dxa"/>
              <w:right w:w="57" w:type="dxa"/>
            </w:tcMar>
            <w:vAlign w:val="center"/>
          </w:tcPr>
          <w:p>
            <w:pPr>
              <w:widowControl/>
              <w:rPr>
                <w:rFonts w:hint="eastAsia" w:ascii="仿宋_GB2312" w:hAnsi="宋体" w:eastAsia="仿宋_GB2312"/>
                <w:color w:val="000000"/>
                <w:szCs w:val="21"/>
              </w:rPr>
            </w:pPr>
            <w:r>
              <w:rPr>
                <w:rFonts w:hint="eastAsia" w:ascii="仿宋_GB2312" w:hAnsi="宋体" w:eastAsia="仿宋_GB2312"/>
                <w:szCs w:val="21"/>
              </w:rPr>
              <w:t>案例分析大赛、顶岗实习</w:t>
            </w:r>
          </w:p>
        </w:tc>
      </w:tr>
    </w:tbl>
    <w:p>
      <w:pPr>
        <w:spacing w:line="400" w:lineRule="exact"/>
        <w:rPr>
          <w:rFonts w:hint="eastAsia" w:ascii="楷体_GB2312" w:hAnsi="宋体" w:eastAsia="楷体_GB2312"/>
          <w:sz w:val="24"/>
        </w:rPr>
      </w:pPr>
    </w:p>
    <w:p>
      <w:pPr>
        <w:spacing w:line="400" w:lineRule="exact"/>
        <w:ind w:firstLine="560" w:firstLineChars="200"/>
        <w:jc w:val="left"/>
        <w:rPr>
          <w:rFonts w:hint="eastAsia" w:ascii="黑体" w:eastAsia="黑体"/>
          <w:sz w:val="28"/>
          <w:szCs w:val="28"/>
        </w:rPr>
      </w:pPr>
      <w:r>
        <w:rPr>
          <w:rFonts w:hint="eastAsia" w:ascii="黑体" w:eastAsia="黑体"/>
          <w:sz w:val="28"/>
          <w:szCs w:val="28"/>
        </w:rPr>
        <w:t>四、学制、学分、学时</w:t>
      </w:r>
    </w:p>
    <w:p>
      <w:pPr>
        <w:widowControl/>
        <w:spacing w:line="400" w:lineRule="exact"/>
        <w:ind w:firstLine="480" w:firstLineChars="200"/>
        <w:jc w:val="left"/>
        <w:rPr>
          <w:rFonts w:hint="eastAsia" w:ascii="宋体" w:hAnsi="宋体"/>
          <w:sz w:val="24"/>
        </w:rPr>
      </w:pPr>
      <w:r>
        <w:rPr>
          <w:rFonts w:hint="eastAsia" w:ascii="宋体" w:hAnsi="宋体"/>
          <w:sz w:val="24"/>
        </w:rPr>
        <w:t>（一）学制：三年</w:t>
      </w:r>
    </w:p>
    <w:p>
      <w:pPr>
        <w:widowControl/>
        <w:spacing w:line="400" w:lineRule="exact"/>
        <w:ind w:firstLine="480" w:firstLineChars="200"/>
        <w:jc w:val="left"/>
        <w:rPr>
          <w:rFonts w:hint="eastAsia" w:ascii="宋体" w:hAnsi="宋体"/>
          <w:sz w:val="24"/>
        </w:rPr>
      </w:pPr>
      <w:r>
        <w:rPr>
          <w:rFonts w:hint="eastAsia" w:ascii="宋体" w:hAnsi="宋体"/>
          <w:sz w:val="24"/>
        </w:rPr>
        <w:t>（二）学分：120学分</w:t>
      </w:r>
    </w:p>
    <w:p>
      <w:pPr>
        <w:widowControl/>
        <w:spacing w:line="400" w:lineRule="exact"/>
        <w:ind w:firstLine="480" w:firstLineChars="200"/>
        <w:jc w:val="left"/>
        <w:rPr>
          <w:rFonts w:hint="eastAsia" w:ascii="宋体" w:hAnsi="宋体"/>
          <w:sz w:val="24"/>
        </w:rPr>
      </w:pPr>
      <w:r>
        <w:rPr>
          <w:rFonts w:hint="eastAsia"/>
          <w:kern w:val="0"/>
          <w:sz w:val="24"/>
        </w:rPr>
        <w:t>（三）学时：2</w:t>
      </w:r>
      <w:r>
        <w:rPr>
          <w:rFonts w:hint="eastAsia"/>
          <w:kern w:val="0"/>
          <w:sz w:val="24"/>
          <w:lang w:val="en-US" w:eastAsia="zh-CN"/>
        </w:rPr>
        <w:t>108</w:t>
      </w:r>
      <w:r>
        <w:rPr>
          <w:rFonts w:hint="eastAsia"/>
          <w:kern w:val="0"/>
          <w:sz w:val="24"/>
        </w:rPr>
        <w:t>学时</w:t>
      </w:r>
    </w:p>
    <w:p>
      <w:pPr>
        <w:pStyle w:val="2"/>
        <w:spacing w:before="0" w:beforeAutospacing="0" w:after="0" w:afterAutospacing="0" w:line="400" w:lineRule="exact"/>
        <w:ind w:firstLine="560" w:firstLineChars="200"/>
        <w:jc w:val="both"/>
        <w:rPr>
          <w:rFonts w:hint="eastAsia" w:ascii="黑体" w:eastAsia="黑体"/>
          <w:sz w:val="28"/>
          <w:szCs w:val="28"/>
        </w:rPr>
      </w:pPr>
      <w:r>
        <w:rPr>
          <w:rFonts w:hint="eastAsia" w:ascii="黑体" w:eastAsia="黑体"/>
          <w:kern w:val="2"/>
          <w:sz w:val="28"/>
          <w:szCs w:val="28"/>
        </w:rPr>
        <w:t>五、专业核心课程简介</w:t>
      </w:r>
    </w:p>
    <w:p>
      <w:pPr>
        <w:spacing w:line="400" w:lineRule="exact"/>
        <w:ind w:firstLine="482" w:firstLineChars="200"/>
        <w:jc w:val="left"/>
        <w:rPr>
          <w:rFonts w:hint="eastAsia" w:ascii="宋体" w:hAnsi="宋体"/>
          <w:sz w:val="24"/>
        </w:rPr>
      </w:pPr>
      <w:r>
        <w:rPr>
          <w:rFonts w:hint="eastAsia" w:ascii="宋体" w:hAnsi="宋体"/>
          <w:b/>
          <w:sz w:val="24"/>
          <w:lang w:val="en-US" w:eastAsia="zh-CN"/>
        </w:rPr>
        <w:t>1</w:t>
      </w:r>
      <w:r>
        <w:rPr>
          <w:rFonts w:hint="eastAsia" w:ascii="宋体" w:hAnsi="宋体"/>
          <w:b/>
          <w:sz w:val="24"/>
        </w:rPr>
        <w:t>.政治经济学（</w:t>
      </w:r>
      <w:r>
        <w:rPr>
          <w:rFonts w:ascii="仿宋_GB2312" w:hAnsi="华文中宋" w:eastAsia="仿宋_GB2312"/>
          <w:b/>
          <w:sz w:val="24"/>
        </w:rPr>
        <w:t>6502031</w:t>
      </w:r>
      <w:r>
        <w:rPr>
          <w:rFonts w:hint="eastAsia" w:ascii="仿宋_GB2312" w:hAnsi="华文中宋" w:eastAsia="仿宋_GB2312"/>
          <w:b/>
          <w:sz w:val="24"/>
          <w:lang w:val="en-US" w:eastAsia="zh-CN"/>
        </w:rPr>
        <w:t>6</w:t>
      </w:r>
      <w:r>
        <w:rPr>
          <w:rFonts w:ascii="仿宋_GB2312" w:hAnsi="华文中宋" w:eastAsia="仿宋_GB2312"/>
          <w:b/>
          <w:sz w:val="24"/>
        </w:rPr>
        <w:t>05</w:t>
      </w:r>
      <w:r>
        <w:rPr>
          <w:rFonts w:hint="eastAsia" w:ascii="宋体" w:hAnsi="宋体"/>
          <w:b/>
          <w:sz w:val="24"/>
        </w:rPr>
        <w:t>）</w:t>
      </w:r>
      <w:r>
        <w:rPr>
          <w:rFonts w:hint="eastAsia" w:ascii="宋体" w:hAnsi="宋体"/>
          <w:sz w:val="24"/>
        </w:rPr>
        <w:t xml:space="preserve">  </w:t>
      </w:r>
      <w:r>
        <w:rPr>
          <w:rFonts w:hint="eastAsia" w:ascii="宋体" w:hAnsi="宋体"/>
          <w:sz w:val="24"/>
          <w:lang w:val="en-US" w:eastAsia="zh-CN"/>
        </w:rPr>
        <w:t>4</w:t>
      </w:r>
      <w:r>
        <w:rPr>
          <w:rFonts w:hint="eastAsia" w:ascii="宋体" w:hAnsi="宋体"/>
          <w:sz w:val="24"/>
        </w:rPr>
        <w:t xml:space="preserve">学分    </w:t>
      </w:r>
    </w:p>
    <w:p>
      <w:pPr>
        <w:spacing w:line="400" w:lineRule="exact"/>
        <w:ind w:firstLine="482" w:firstLineChars="200"/>
        <w:jc w:val="left"/>
        <w:rPr>
          <w:rFonts w:hint="eastAsia" w:ascii="宋体" w:hAnsi="宋体"/>
          <w:sz w:val="24"/>
        </w:rPr>
      </w:pPr>
      <w:r>
        <w:rPr>
          <w:rFonts w:hint="eastAsia" w:ascii="宋体" w:hAnsi="宋体"/>
          <w:b/>
          <w:sz w:val="24"/>
        </w:rPr>
        <w:t>课程目的：</w:t>
      </w:r>
      <w:r>
        <w:rPr>
          <w:rFonts w:hint="eastAsia" w:ascii="宋体" w:hAnsi="宋体"/>
          <w:color w:val="000000"/>
          <w:sz w:val="24"/>
        </w:rPr>
        <w:t>通过教学使学生了解和掌握</w:t>
      </w:r>
      <w:r>
        <w:rPr>
          <w:rFonts w:hint="eastAsia" w:ascii="宋体" w:hAnsi="宋体" w:cs="Dotum"/>
          <w:sz w:val="24"/>
        </w:rPr>
        <w:t>指</w:t>
      </w:r>
      <w:r>
        <w:rPr>
          <w:rFonts w:hint="eastAsia" w:ascii="宋体" w:hAnsi="宋体" w:cs="宋体"/>
          <w:sz w:val="24"/>
        </w:rPr>
        <w:t>导</w:t>
      </w:r>
      <w:r>
        <w:rPr>
          <w:rFonts w:hint="eastAsia" w:ascii="宋体" w:hAnsi="宋体"/>
          <w:sz w:val="24"/>
        </w:rPr>
        <w:t>市</w:t>
      </w:r>
      <w:r>
        <w:rPr>
          <w:rFonts w:hint="eastAsia" w:ascii="宋体" w:hAnsi="宋体" w:cs="宋体"/>
          <w:sz w:val="24"/>
        </w:rPr>
        <w:t>场经济运</w:t>
      </w:r>
      <w:r>
        <w:rPr>
          <w:rFonts w:hint="eastAsia" w:ascii="宋体" w:hAnsi="宋体" w:cs="Dotum"/>
          <w:sz w:val="24"/>
        </w:rPr>
        <w:t>行的一般</w:t>
      </w:r>
      <w:r>
        <w:rPr>
          <w:rFonts w:hint="eastAsia" w:ascii="宋体" w:hAnsi="宋体" w:cs="宋体"/>
          <w:sz w:val="24"/>
        </w:rPr>
        <w:t>经济</w:t>
      </w:r>
      <w:r>
        <w:rPr>
          <w:rFonts w:hint="eastAsia" w:ascii="宋体" w:hAnsi="宋体" w:cs="Dotum"/>
          <w:sz w:val="24"/>
        </w:rPr>
        <w:t>理</w:t>
      </w:r>
      <w:r>
        <w:rPr>
          <w:rFonts w:hint="eastAsia" w:ascii="宋体" w:hAnsi="宋体" w:cs="宋体"/>
          <w:sz w:val="24"/>
        </w:rPr>
        <w:t>论，科学地认识现</w:t>
      </w:r>
      <w:r>
        <w:rPr>
          <w:rFonts w:hint="eastAsia" w:ascii="宋体" w:hAnsi="宋体" w:cs="Dotum"/>
          <w:sz w:val="24"/>
        </w:rPr>
        <w:t>代</w:t>
      </w:r>
      <w:r>
        <w:rPr>
          <w:rFonts w:hint="eastAsia" w:ascii="宋体" w:hAnsi="宋体" w:cs="宋体"/>
          <w:sz w:val="24"/>
        </w:rPr>
        <w:t>资</w:t>
      </w:r>
      <w:r>
        <w:rPr>
          <w:rFonts w:hint="eastAsia" w:ascii="宋体" w:hAnsi="宋体" w:cs="Dotum"/>
          <w:sz w:val="24"/>
        </w:rPr>
        <w:t>本主</w:t>
      </w:r>
      <w:r>
        <w:rPr>
          <w:rFonts w:hint="eastAsia" w:ascii="宋体" w:hAnsi="宋体" w:cs="宋体"/>
          <w:sz w:val="24"/>
        </w:rPr>
        <w:t>义发展的一般规律以及</w:t>
      </w:r>
      <w:r>
        <w:rPr>
          <w:rFonts w:hint="eastAsia" w:ascii="宋体" w:hAnsi="宋体"/>
          <w:sz w:val="24"/>
        </w:rPr>
        <w:t>社会主义基本经济理论。</w:t>
      </w:r>
    </w:p>
    <w:p>
      <w:pPr>
        <w:spacing w:line="400" w:lineRule="exact"/>
        <w:ind w:firstLine="482" w:firstLineChars="200"/>
        <w:jc w:val="left"/>
        <w:rPr>
          <w:rFonts w:hint="eastAsia" w:ascii="宋体" w:hAnsi="宋体"/>
          <w:sz w:val="24"/>
        </w:rPr>
      </w:pPr>
      <w:r>
        <w:rPr>
          <w:rFonts w:hint="eastAsia" w:ascii="宋体" w:hAnsi="宋体"/>
          <w:b/>
          <w:sz w:val="24"/>
        </w:rPr>
        <w:t>课程内容</w:t>
      </w:r>
      <w:r>
        <w:rPr>
          <w:rFonts w:hint="eastAsia" w:ascii="宋体" w:hAnsi="宋体"/>
          <w:b/>
          <w:bCs/>
          <w:sz w:val="24"/>
        </w:rPr>
        <w:t>：</w:t>
      </w:r>
      <w:r>
        <w:rPr>
          <w:rFonts w:hint="eastAsia" w:ascii="宋体" w:hAnsi="宋体"/>
          <w:sz w:val="24"/>
        </w:rPr>
        <w:t>在资本主义部分，从研究商品开始，分析了资本主义的生产、流通、分配和消费过程，劳动价值理论、剩余价值理论和生产价格理论。在社会主义部分，研究社会主义所有制理论、社会主义市场经济理论、现代企业制度、社会主义流通理论、社会主义分配理论、社会主义宏观调控和对外经济关系。</w:t>
      </w:r>
    </w:p>
    <w:p>
      <w:pPr>
        <w:spacing w:line="400" w:lineRule="exact"/>
        <w:ind w:firstLine="482" w:firstLineChars="200"/>
        <w:jc w:val="left"/>
        <w:rPr>
          <w:rFonts w:hint="eastAsia" w:ascii="宋体" w:hAnsi="宋体"/>
          <w:color w:val="000000"/>
          <w:sz w:val="24"/>
        </w:rPr>
      </w:pPr>
      <w:r>
        <w:rPr>
          <w:rFonts w:hint="eastAsia" w:ascii="宋体" w:hAnsi="宋体"/>
          <w:b/>
          <w:color w:val="000000"/>
          <w:sz w:val="24"/>
          <w:lang w:val="en-US" w:eastAsia="zh-CN"/>
        </w:rPr>
        <w:t>2</w:t>
      </w:r>
      <w:r>
        <w:rPr>
          <w:rFonts w:hint="eastAsia" w:ascii="宋体" w:hAnsi="宋体"/>
          <w:b/>
          <w:color w:val="000000"/>
          <w:sz w:val="24"/>
        </w:rPr>
        <w:t>.管理学（</w:t>
      </w:r>
      <w:r>
        <w:rPr>
          <w:rFonts w:ascii="仿宋_GB2312" w:hAnsi="华文中宋" w:eastAsia="仿宋_GB2312"/>
          <w:b/>
          <w:sz w:val="24"/>
        </w:rPr>
        <w:t>6502031</w:t>
      </w:r>
      <w:r>
        <w:rPr>
          <w:rFonts w:hint="eastAsia" w:ascii="仿宋_GB2312" w:hAnsi="华文中宋" w:eastAsia="仿宋_GB2312"/>
          <w:b/>
          <w:sz w:val="24"/>
          <w:lang w:val="en-US" w:eastAsia="zh-CN"/>
        </w:rPr>
        <w:t>6</w:t>
      </w:r>
      <w:r>
        <w:rPr>
          <w:rFonts w:ascii="仿宋_GB2312" w:hAnsi="华文中宋" w:eastAsia="仿宋_GB2312"/>
          <w:b/>
          <w:sz w:val="24"/>
        </w:rPr>
        <w:t>0</w:t>
      </w:r>
      <w:r>
        <w:rPr>
          <w:rFonts w:hint="eastAsia" w:ascii="仿宋_GB2312" w:hAnsi="华文中宋" w:eastAsia="仿宋_GB2312"/>
          <w:b/>
          <w:sz w:val="24"/>
          <w:lang w:val="en-US" w:eastAsia="zh-CN"/>
        </w:rPr>
        <w:t>3</w:t>
      </w:r>
      <w:r>
        <w:rPr>
          <w:rFonts w:hint="eastAsia" w:ascii="宋体" w:hAnsi="宋体"/>
          <w:b/>
          <w:color w:val="000000"/>
          <w:sz w:val="24"/>
        </w:rPr>
        <w:t>）</w:t>
      </w:r>
      <w:r>
        <w:rPr>
          <w:rFonts w:hint="eastAsia" w:ascii="宋体" w:hAnsi="宋体"/>
          <w:color w:val="000000"/>
          <w:sz w:val="24"/>
        </w:rPr>
        <w:t xml:space="preserve">  4学分 </w:t>
      </w:r>
    </w:p>
    <w:p>
      <w:pPr>
        <w:spacing w:line="400" w:lineRule="exact"/>
        <w:ind w:firstLine="482" w:firstLineChars="200"/>
        <w:jc w:val="left"/>
        <w:rPr>
          <w:rFonts w:hint="eastAsia" w:ascii="宋体" w:hAnsi="宋体"/>
          <w:color w:val="000000"/>
          <w:sz w:val="24"/>
        </w:rPr>
      </w:pPr>
      <w:r>
        <w:rPr>
          <w:rFonts w:hint="eastAsia" w:ascii="宋体" w:hAnsi="宋体"/>
          <w:b/>
          <w:sz w:val="24"/>
        </w:rPr>
        <w:t>课程目的：</w:t>
      </w:r>
      <w:r>
        <w:rPr>
          <w:rFonts w:hint="eastAsia" w:ascii="宋体" w:hAnsi="宋体"/>
          <w:color w:val="000000"/>
          <w:sz w:val="24"/>
        </w:rPr>
        <w:t>通过教学使学生掌握基本的管理理论，拥有现代的管理理念，并把管理思想渗透到日后的实际工作之中。</w:t>
      </w:r>
    </w:p>
    <w:p>
      <w:pPr>
        <w:spacing w:line="400" w:lineRule="exact"/>
        <w:ind w:firstLine="482" w:firstLineChars="200"/>
        <w:jc w:val="left"/>
        <w:rPr>
          <w:rFonts w:hint="eastAsia" w:ascii="宋体" w:hAnsi="宋体"/>
          <w:color w:val="000000"/>
          <w:sz w:val="24"/>
        </w:rPr>
      </w:pPr>
      <w:r>
        <w:rPr>
          <w:rFonts w:hint="eastAsia" w:ascii="宋体" w:hAnsi="宋体"/>
          <w:b/>
          <w:sz w:val="24"/>
        </w:rPr>
        <w:t>课程内容</w:t>
      </w:r>
      <w:r>
        <w:rPr>
          <w:rFonts w:hint="eastAsia" w:ascii="宋体" w:hAnsi="宋体"/>
          <w:b/>
          <w:bCs/>
          <w:sz w:val="24"/>
        </w:rPr>
        <w:t>：</w:t>
      </w:r>
      <w:r>
        <w:rPr>
          <w:rFonts w:hint="eastAsia" w:ascii="宋体" w:hAnsi="宋体"/>
          <w:color w:val="000000"/>
          <w:sz w:val="24"/>
        </w:rPr>
        <w:t>管理活动与管理理论；道德与社会责任；决策与信息；计划工作；组织工作；人员与领导；控制工作；管理的创新职能；企业组织创新等。</w:t>
      </w:r>
    </w:p>
    <w:p>
      <w:pPr>
        <w:spacing w:line="400" w:lineRule="exact"/>
        <w:ind w:firstLine="482" w:firstLineChars="200"/>
        <w:jc w:val="left"/>
        <w:rPr>
          <w:rFonts w:hint="eastAsia" w:ascii="宋体" w:hAnsi="宋体"/>
          <w:color w:val="000000"/>
          <w:sz w:val="24"/>
        </w:rPr>
      </w:pPr>
      <w:r>
        <w:rPr>
          <w:rFonts w:hint="eastAsia" w:ascii="宋体" w:hAnsi="宋体"/>
          <w:b/>
          <w:color w:val="000000"/>
          <w:sz w:val="24"/>
          <w:lang w:val="en-US" w:eastAsia="zh-CN"/>
        </w:rPr>
        <w:t>3</w:t>
      </w:r>
      <w:r>
        <w:rPr>
          <w:rFonts w:hint="eastAsia" w:ascii="宋体" w:hAnsi="宋体"/>
          <w:b/>
          <w:color w:val="000000"/>
          <w:sz w:val="24"/>
        </w:rPr>
        <w:t>.政治学 (</w:t>
      </w:r>
      <w:r>
        <w:rPr>
          <w:rFonts w:ascii="仿宋_GB2312" w:hAnsi="华文中宋" w:eastAsia="仿宋_GB2312"/>
          <w:b/>
          <w:sz w:val="24"/>
        </w:rPr>
        <w:t>6502031</w:t>
      </w:r>
      <w:r>
        <w:rPr>
          <w:rFonts w:hint="eastAsia" w:ascii="仿宋_GB2312" w:hAnsi="华文中宋" w:eastAsia="仿宋_GB2312"/>
          <w:b/>
          <w:sz w:val="24"/>
          <w:lang w:val="en-US" w:eastAsia="zh-CN"/>
        </w:rPr>
        <w:t>6</w:t>
      </w:r>
      <w:r>
        <w:rPr>
          <w:rFonts w:ascii="仿宋_GB2312" w:hAnsi="华文中宋" w:eastAsia="仿宋_GB2312"/>
          <w:b/>
          <w:sz w:val="24"/>
        </w:rPr>
        <w:t>07</w:t>
      </w:r>
      <w:r>
        <w:rPr>
          <w:rFonts w:hint="eastAsia" w:ascii="宋体" w:hAnsi="宋体"/>
          <w:b/>
          <w:color w:val="000000"/>
          <w:sz w:val="24"/>
        </w:rPr>
        <w:t>)</w:t>
      </w:r>
      <w:r>
        <w:rPr>
          <w:rFonts w:hint="eastAsia" w:ascii="宋体" w:hAnsi="宋体"/>
          <w:color w:val="000000"/>
          <w:sz w:val="24"/>
        </w:rPr>
        <w:t xml:space="preserve">  4学分  </w:t>
      </w:r>
    </w:p>
    <w:p>
      <w:pPr>
        <w:widowControl/>
        <w:snapToGrid w:val="0"/>
        <w:spacing w:line="400" w:lineRule="exact"/>
        <w:ind w:firstLine="482" w:firstLineChars="200"/>
        <w:jc w:val="left"/>
        <w:rPr>
          <w:rFonts w:hint="eastAsia" w:ascii="宋体" w:hAnsi="宋体" w:cs="宋体"/>
          <w:color w:val="000000"/>
          <w:kern w:val="0"/>
          <w:sz w:val="24"/>
        </w:rPr>
      </w:pPr>
      <w:r>
        <w:rPr>
          <w:rFonts w:hint="eastAsia" w:ascii="宋体" w:hAnsi="宋体"/>
          <w:b/>
          <w:sz w:val="24"/>
        </w:rPr>
        <w:t>课程目的：</w:t>
      </w:r>
      <w:r>
        <w:rPr>
          <w:rFonts w:hint="eastAsia" w:ascii="宋体" w:hAnsi="宋体"/>
          <w:color w:val="000000"/>
          <w:sz w:val="24"/>
        </w:rPr>
        <w:t>通过教学使学生了解和掌握政治学的基本理论，</w:t>
      </w:r>
      <w:r>
        <w:rPr>
          <w:rFonts w:hint="eastAsia" w:ascii="宋体" w:hAnsi="宋体" w:cs="宋体"/>
          <w:color w:val="000000"/>
          <w:kern w:val="0"/>
          <w:sz w:val="24"/>
        </w:rPr>
        <w:t>运用政治学的有关原理分析社会问题，</w:t>
      </w:r>
      <w:r>
        <w:rPr>
          <w:rFonts w:hint="eastAsia" w:ascii="宋体" w:hAnsi="宋体"/>
          <w:color w:val="000000"/>
          <w:sz w:val="24"/>
        </w:rPr>
        <w:t>提高判断政治是非的能力和参政议政的能力。</w:t>
      </w:r>
    </w:p>
    <w:p>
      <w:pPr>
        <w:spacing w:line="400" w:lineRule="exact"/>
        <w:ind w:firstLine="482" w:firstLineChars="200"/>
        <w:jc w:val="left"/>
        <w:rPr>
          <w:rFonts w:hint="eastAsia" w:ascii="宋体" w:hAnsi="宋体"/>
          <w:color w:val="000000"/>
          <w:sz w:val="24"/>
        </w:rPr>
      </w:pPr>
      <w:r>
        <w:rPr>
          <w:rFonts w:hint="eastAsia" w:ascii="宋体" w:hAnsi="宋体"/>
          <w:b/>
          <w:sz w:val="24"/>
        </w:rPr>
        <w:t>课程内容</w:t>
      </w:r>
      <w:r>
        <w:rPr>
          <w:rFonts w:hint="eastAsia" w:ascii="宋体" w:hAnsi="宋体"/>
          <w:b/>
          <w:bCs/>
          <w:sz w:val="24"/>
        </w:rPr>
        <w:t>：</w:t>
      </w:r>
      <w:r>
        <w:rPr>
          <w:rFonts w:hint="eastAsia" w:ascii="宋体" w:hAnsi="宋体"/>
          <w:color w:val="000000"/>
          <w:sz w:val="24"/>
        </w:rPr>
        <w:t>政治学的发展历史和发展趋势、国家的起源、本质和职能、国家历史类型、国家形式、国家机构、政党政治、人民和政治家、选举制度、政治文化、政治心理、政治监督等基本理论和知识。</w:t>
      </w:r>
    </w:p>
    <w:p>
      <w:pPr>
        <w:spacing w:line="400" w:lineRule="exact"/>
        <w:ind w:firstLine="482" w:firstLineChars="200"/>
        <w:jc w:val="left"/>
        <w:rPr>
          <w:rFonts w:hint="eastAsia" w:ascii="宋体" w:hAnsi="宋体"/>
          <w:color w:val="000000"/>
          <w:sz w:val="24"/>
        </w:rPr>
      </w:pPr>
      <w:r>
        <w:rPr>
          <w:rFonts w:hint="eastAsia" w:ascii="宋体" w:hAnsi="宋体"/>
          <w:b/>
          <w:color w:val="000000"/>
          <w:sz w:val="24"/>
          <w:lang w:val="en-US" w:eastAsia="zh-CN"/>
        </w:rPr>
        <w:t>4</w:t>
      </w:r>
      <w:r>
        <w:rPr>
          <w:rFonts w:hint="eastAsia" w:ascii="宋体" w:hAnsi="宋体"/>
          <w:b/>
          <w:color w:val="000000"/>
          <w:sz w:val="24"/>
        </w:rPr>
        <w:t>.行政管理学(</w:t>
      </w:r>
      <w:r>
        <w:rPr>
          <w:rFonts w:ascii="仿宋_GB2312" w:hAnsi="华文中宋" w:eastAsia="仿宋_GB2312"/>
          <w:b/>
          <w:sz w:val="24"/>
        </w:rPr>
        <w:t>6502031</w:t>
      </w:r>
      <w:r>
        <w:rPr>
          <w:rFonts w:hint="eastAsia" w:ascii="仿宋_GB2312" w:hAnsi="华文中宋" w:eastAsia="仿宋_GB2312"/>
          <w:b/>
          <w:sz w:val="24"/>
          <w:lang w:val="en-US" w:eastAsia="zh-CN"/>
        </w:rPr>
        <w:t>610</w:t>
      </w:r>
      <w:r>
        <w:rPr>
          <w:rFonts w:hint="eastAsia" w:ascii="宋体" w:hAnsi="宋体"/>
          <w:b/>
          <w:color w:val="000000"/>
          <w:sz w:val="24"/>
        </w:rPr>
        <w:t>)</w:t>
      </w:r>
      <w:r>
        <w:rPr>
          <w:rFonts w:hint="eastAsia" w:ascii="宋体" w:hAnsi="宋体"/>
          <w:color w:val="000000"/>
          <w:sz w:val="24"/>
        </w:rPr>
        <w:t xml:space="preserve">  </w:t>
      </w:r>
      <w:r>
        <w:rPr>
          <w:rFonts w:hint="eastAsia" w:ascii="宋体" w:hAnsi="宋体"/>
          <w:color w:val="000000"/>
          <w:sz w:val="24"/>
          <w:lang w:val="en-US" w:eastAsia="zh-CN"/>
        </w:rPr>
        <w:t>3</w:t>
      </w:r>
      <w:r>
        <w:rPr>
          <w:rFonts w:hint="eastAsia" w:ascii="宋体" w:hAnsi="宋体"/>
          <w:color w:val="000000"/>
          <w:sz w:val="24"/>
        </w:rPr>
        <w:t>学分</w:t>
      </w:r>
    </w:p>
    <w:p>
      <w:pPr>
        <w:spacing w:line="400" w:lineRule="exact"/>
        <w:ind w:firstLine="482" w:firstLineChars="200"/>
        <w:jc w:val="left"/>
        <w:rPr>
          <w:rFonts w:hint="eastAsia" w:ascii="宋体" w:hAnsi="宋体"/>
          <w:color w:val="000000"/>
          <w:sz w:val="24"/>
        </w:rPr>
      </w:pPr>
      <w:r>
        <w:rPr>
          <w:rFonts w:hint="eastAsia" w:ascii="宋体" w:hAnsi="宋体"/>
          <w:b/>
          <w:sz w:val="24"/>
        </w:rPr>
        <w:t>课程目的：</w:t>
      </w:r>
      <w:r>
        <w:rPr>
          <w:rFonts w:hint="eastAsia" w:ascii="宋体" w:hAnsi="宋体"/>
          <w:color w:val="000000"/>
          <w:sz w:val="24"/>
        </w:rPr>
        <w:t>通过教学使学生了解和掌握行政管理学的基本理论和方法，提高学生行政管理和政务管理的水平和能力。</w:t>
      </w:r>
    </w:p>
    <w:p>
      <w:pPr>
        <w:spacing w:line="400" w:lineRule="exact"/>
        <w:ind w:firstLine="482" w:firstLineChars="200"/>
        <w:jc w:val="left"/>
        <w:rPr>
          <w:rFonts w:hint="eastAsia" w:ascii="宋体" w:hAnsi="宋体" w:cs="宋体"/>
          <w:kern w:val="0"/>
          <w:sz w:val="24"/>
        </w:rPr>
      </w:pPr>
      <w:r>
        <w:rPr>
          <w:rFonts w:hint="eastAsia" w:ascii="宋体" w:hAnsi="宋体"/>
          <w:b/>
          <w:sz w:val="24"/>
        </w:rPr>
        <w:t>课程内容</w:t>
      </w:r>
      <w:r>
        <w:rPr>
          <w:rFonts w:hint="eastAsia" w:ascii="宋体" w:hAnsi="宋体"/>
          <w:b/>
          <w:bCs/>
          <w:sz w:val="24"/>
        </w:rPr>
        <w:t>：</w:t>
      </w:r>
      <w:r>
        <w:rPr>
          <w:rFonts w:hint="eastAsia" w:ascii="宋体" w:hAnsi="宋体" w:cs="宋体"/>
          <w:kern w:val="0"/>
          <w:sz w:val="24"/>
        </w:rPr>
        <w:t>行政的历史与发展、行政的基本理论与制度设计、行政的运作过程、行政的行为选择。</w:t>
      </w:r>
    </w:p>
    <w:p>
      <w:pPr>
        <w:spacing w:line="400" w:lineRule="exact"/>
        <w:ind w:firstLine="482" w:firstLineChars="200"/>
        <w:jc w:val="left"/>
        <w:rPr>
          <w:rFonts w:hint="eastAsia" w:ascii="宋体" w:hAnsi="宋体"/>
          <w:color w:val="000000"/>
          <w:sz w:val="24"/>
        </w:rPr>
      </w:pPr>
      <w:r>
        <w:rPr>
          <w:rFonts w:hint="eastAsia" w:ascii="宋体" w:hAnsi="宋体"/>
          <w:b/>
          <w:color w:val="000000"/>
          <w:sz w:val="24"/>
          <w:lang w:val="en-US" w:eastAsia="zh-CN"/>
        </w:rPr>
        <w:t>5</w:t>
      </w:r>
      <w:r>
        <w:rPr>
          <w:rFonts w:hint="eastAsia" w:ascii="宋体" w:hAnsi="宋体"/>
          <w:b/>
          <w:color w:val="000000"/>
          <w:sz w:val="24"/>
        </w:rPr>
        <w:t>.</w:t>
      </w:r>
      <w:r>
        <w:rPr>
          <w:rFonts w:hint="eastAsia" w:ascii="宋体" w:hAnsi="宋体"/>
          <w:b/>
          <w:bCs/>
          <w:color w:val="000000"/>
          <w:sz w:val="24"/>
        </w:rPr>
        <w:t>行政法学(</w:t>
      </w:r>
      <w:r>
        <w:rPr>
          <w:rFonts w:ascii="仿宋_GB2312" w:hAnsi="华文中宋" w:eastAsia="仿宋_GB2312"/>
          <w:b/>
          <w:sz w:val="24"/>
        </w:rPr>
        <w:t>6502031</w:t>
      </w:r>
      <w:r>
        <w:rPr>
          <w:rFonts w:hint="eastAsia" w:ascii="仿宋_GB2312" w:hAnsi="华文中宋" w:eastAsia="仿宋_GB2312"/>
          <w:b/>
          <w:sz w:val="24"/>
          <w:lang w:val="en-US" w:eastAsia="zh-CN"/>
        </w:rPr>
        <w:t>6</w:t>
      </w:r>
      <w:r>
        <w:rPr>
          <w:rFonts w:ascii="仿宋_GB2312" w:hAnsi="华文中宋" w:eastAsia="仿宋_GB2312"/>
          <w:b/>
          <w:sz w:val="24"/>
        </w:rPr>
        <w:t>1</w:t>
      </w:r>
      <w:r>
        <w:rPr>
          <w:rFonts w:hint="eastAsia" w:ascii="仿宋_GB2312" w:hAnsi="华文中宋" w:eastAsia="仿宋_GB2312"/>
          <w:b/>
          <w:sz w:val="24"/>
          <w:lang w:val="en-US" w:eastAsia="zh-CN"/>
        </w:rPr>
        <w:t>1</w:t>
      </w:r>
      <w:r>
        <w:rPr>
          <w:rFonts w:hint="eastAsia" w:ascii="宋体" w:hAnsi="宋体"/>
          <w:b/>
          <w:bCs/>
          <w:color w:val="000000"/>
          <w:sz w:val="24"/>
        </w:rPr>
        <w:t xml:space="preserve">)  </w:t>
      </w:r>
      <w:r>
        <w:rPr>
          <w:rFonts w:hint="eastAsia" w:ascii="宋体" w:hAnsi="宋体"/>
          <w:b/>
          <w:bCs/>
          <w:color w:val="000000"/>
          <w:sz w:val="24"/>
          <w:lang w:val="en-US" w:eastAsia="zh-CN"/>
        </w:rPr>
        <w:t>3</w:t>
      </w:r>
      <w:r>
        <w:rPr>
          <w:rFonts w:hint="eastAsia" w:ascii="宋体" w:hAnsi="宋体"/>
          <w:color w:val="000000"/>
          <w:sz w:val="24"/>
        </w:rPr>
        <w:t>学分</w:t>
      </w:r>
    </w:p>
    <w:p>
      <w:pPr>
        <w:spacing w:line="400" w:lineRule="exact"/>
        <w:ind w:firstLine="482" w:firstLineChars="200"/>
        <w:jc w:val="left"/>
        <w:rPr>
          <w:rFonts w:hint="eastAsia" w:ascii="宋体" w:hAnsi="宋体"/>
          <w:color w:val="000000"/>
          <w:sz w:val="24"/>
        </w:rPr>
      </w:pPr>
      <w:r>
        <w:rPr>
          <w:rFonts w:hint="eastAsia" w:ascii="宋体" w:hAnsi="宋体"/>
          <w:b/>
          <w:sz w:val="24"/>
        </w:rPr>
        <w:t>课程目的：</w:t>
      </w:r>
      <w:r>
        <w:rPr>
          <w:rFonts w:hint="eastAsia" w:ascii="宋体" w:hAnsi="宋体"/>
          <w:color w:val="000000"/>
          <w:sz w:val="24"/>
        </w:rPr>
        <w:t>通过教学使学生熟练掌握行政立法、行政司法、行政执法等问题。</w:t>
      </w:r>
    </w:p>
    <w:p>
      <w:pPr>
        <w:pStyle w:val="2"/>
        <w:spacing w:before="0" w:beforeAutospacing="0" w:after="0" w:afterAutospacing="0" w:line="400" w:lineRule="exact"/>
        <w:ind w:firstLine="482" w:firstLineChars="200"/>
        <w:jc w:val="both"/>
        <w:rPr>
          <w:rFonts w:hint="eastAsia" w:cs="宋体"/>
        </w:rPr>
      </w:pPr>
      <w:r>
        <w:rPr>
          <w:rFonts w:hint="eastAsia"/>
          <w:b/>
        </w:rPr>
        <w:t>课程内容</w:t>
      </w:r>
      <w:r>
        <w:rPr>
          <w:rFonts w:hint="eastAsia"/>
          <w:b/>
          <w:bCs/>
        </w:rPr>
        <w:t>：</w:t>
      </w:r>
      <w:r>
        <w:rPr>
          <w:rFonts w:hint="eastAsia" w:cs="宋体"/>
        </w:rPr>
        <w:t>行政法学的基础理论、行政主体、各种具体行政行为和抽象行政行为、行政程序、行政诉讼、行政赔偿等。</w:t>
      </w:r>
    </w:p>
    <w:p>
      <w:pPr>
        <w:pStyle w:val="2"/>
        <w:spacing w:before="0" w:beforeAutospacing="0" w:after="0" w:afterAutospacing="0" w:line="400" w:lineRule="exact"/>
        <w:ind w:firstLine="560" w:firstLineChars="200"/>
        <w:jc w:val="both"/>
        <w:rPr>
          <w:rFonts w:hint="eastAsia" w:ascii="黑体" w:eastAsia="黑体"/>
          <w:kern w:val="2"/>
          <w:sz w:val="28"/>
          <w:szCs w:val="28"/>
        </w:rPr>
      </w:pPr>
      <w:r>
        <w:rPr>
          <w:rFonts w:hint="eastAsia" w:ascii="黑体" w:eastAsia="黑体"/>
          <w:kern w:val="2"/>
          <w:sz w:val="28"/>
          <w:szCs w:val="28"/>
        </w:rPr>
        <w:t>六、课程结构和教学计划</w:t>
      </w:r>
    </w:p>
    <w:p>
      <w:pPr>
        <w:pStyle w:val="2"/>
        <w:spacing w:before="0" w:beforeAutospacing="0" w:after="0" w:afterAutospacing="0" w:line="400" w:lineRule="exact"/>
        <w:ind w:firstLine="480" w:firstLineChars="200"/>
        <w:jc w:val="both"/>
        <w:rPr>
          <w:rFonts w:hint="eastAsia"/>
          <w:kern w:val="2"/>
        </w:rPr>
      </w:pPr>
      <w:r>
        <w:rPr>
          <w:rFonts w:hint="eastAsia"/>
          <w:bCs/>
        </w:rPr>
        <w:t>课程结构比例见附表2，教学计划进程见附表3。</w:t>
      </w:r>
    </w:p>
    <w:p>
      <w:pPr>
        <w:pStyle w:val="2"/>
        <w:spacing w:before="40" w:beforeAutospacing="0" w:after="40" w:afterAutospacing="0" w:line="500" w:lineRule="exact"/>
        <w:jc w:val="both"/>
        <w:rPr>
          <w:rFonts w:hint="eastAsia" w:ascii="楷体_GB2312" w:eastAsia="楷体_GB2312"/>
        </w:rPr>
      </w:pPr>
    </w:p>
    <w:p>
      <w:pPr>
        <w:pStyle w:val="2"/>
        <w:spacing w:before="40" w:beforeAutospacing="0" w:after="40" w:afterAutospacing="0" w:line="500" w:lineRule="exact"/>
        <w:jc w:val="both"/>
        <w:rPr>
          <w:rFonts w:hint="eastAsia" w:ascii="楷体_GB2312" w:eastAsia="楷体_GB2312"/>
        </w:rPr>
      </w:pPr>
    </w:p>
    <w:p>
      <w:pPr>
        <w:pStyle w:val="2"/>
        <w:spacing w:before="40" w:beforeAutospacing="0" w:after="40" w:afterAutospacing="0" w:line="500" w:lineRule="exact"/>
        <w:jc w:val="both"/>
        <w:rPr>
          <w:rFonts w:hint="eastAsia" w:ascii="楷体_GB2312" w:eastAsia="楷体_GB2312"/>
        </w:rPr>
      </w:pPr>
    </w:p>
    <w:p>
      <w:pPr>
        <w:pStyle w:val="2"/>
        <w:spacing w:before="40" w:beforeAutospacing="0" w:after="40" w:afterAutospacing="0" w:line="500" w:lineRule="exact"/>
        <w:jc w:val="both"/>
        <w:rPr>
          <w:rFonts w:hint="eastAsia" w:ascii="楷体_GB2312" w:eastAsia="楷体_GB2312"/>
        </w:rPr>
      </w:pPr>
    </w:p>
    <w:p>
      <w:pPr>
        <w:pStyle w:val="2"/>
        <w:spacing w:before="40" w:beforeAutospacing="0" w:after="40" w:afterAutospacing="0" w:line="500" w:lineRule="exact"/>
        <w:jc w:val="both"/>
        <w:rPr>
          <w:rFonts w:hint="eastAsia" w:ascii="楷体_GB2312" w:eastAsia="楷体_GB2312"/>
          <w:bCs/>
        </w:rPr>
      </w:pPr>
      <w:r>
        <w:rPr>
          <w:rFonts w:hint="eastAsia" w:ascii="楷体_GB2312" w:eastAsia="楷体_GB2312"/>
        </w:rPr>
        <w:t>附表2</w:t>
      </w:r>
      <w:r>
        <w:rPr>
          <w:rFonts w:hint="eastAsia" w:ascii="楷体_GB2312" w:eastAsia="楷体_GB2312"/>
          <w:bCs/>
        </w:rPr>
        <w:t xml:space="preserve">： </w:t>
      </w:r>
    </w:p>
    <w:p>
      <w:pPr>
        <w:pStyle w:val="2"/>
        <w:spacing w:before="40" w:beforeAutospacing="0" w:after="40" w:afterAutospacing="0" w:line="500" w:lineRule="exact"/>
        <w:ind w:right="-334" w:rightChars="-159"/>
        <w:jc w:val="center"/>
        <w:rPr>
          <w:rFonts w:hint="eastAsia" w:ascii="方正大标宋简体" w:hAnsi="华文中宋" w:eastAsia="方正大标宋简体"/>
          <w:b/>
          <w:sz w:val="28"/>
          <w:szCs w:val="28"/>
        </w:rPr>
      </w:pPr>
      <w:r>
        <w:rPr>
          <w:b/>
          <w:kern w:val="2"/>
          <w:sz w:val="28"/>
          <w:szCs w:val="28"/>
        </w:rPr>
        <w:t>行政管理</w:t>
      </w:r>
      <w:r>
        <w:rPr>
          <w:rFonts w:hint="eastAsia"/>
          <w:b/>
          <w:sz w:val="28"/>
          <w:szCs w:val="28"/>
        </w:rPr>
        <w:t>专业课程结构比例一览表</w:t>
      </w:r>
    </w:p>
    <w:tbl>
      <w:tblPr>
        <w:tblStyle w:val="7"/>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910"/>
        <w:gridCol w:w="904"/>
        <w:gridCol w:w="1814"/>
        <w:gridCol w:w="926"/>
        <w:gridCol w:w="88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1814" w:type="dxa"/>
            <w:vMerge w:val="restart"/>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课程类别</w:t>
            </w:r>
          </w:p>
        </w:tc>
        <w:tc>
          <w:tcPr>
            <w:tcW w:w="7258" w:type="dxa"/>
            <w:gridSpan w:val="6"/>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学分、学时比例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1814" w:type="dxa"/>
            <w:vMerge w:val="continue"/>
            <w:vAlign w:val="center"/>
          </w:tcPr>
          <w:p>
            <w:pPr>
              <w:widowControl/>
              <w:snapToGrid w:val="0"/>
              <w:jc w:val="center"/>
              <w:rPr>
                <w:rFonts w:hint="eastAsia" w:ascii="宋体" w:hAnsi="宋体" w:cs="宋体"/>
                <w:spacing w:val="15"/>
                <w:kern w:val="0"/>
                <w:szCs w:val="21"/>
              </w:rPr>
            </w:pPr>
          </w:p>
        </w:tc>
        <w:tc>
          <w:tcPr>
            <w:tcW w:w="1814" w:type="dxa"/>
            <w:gridSpan w:val="2"/>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学    分</w:t>
            </w:r>
          </w:p>
        </w:tc>
        <w:tc>
          <w:tcPr>
            <w:tcW w:w="1814" w:type="dxa"/>
            <w:vMerge w:val="restart"/>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学分比例（%）</w:t>
            </w:r>
          </w:p>
        </w:tc>
        <w:tc>
          <w:tcPr>
            <w:tcW w:w="1815" w:type="dxa"/>
            <w:gridSpan w:val="2"/>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学    时</w:t>
            </w:r>
          </w:p>
        </w:tc>
        <w:tc>
          <w:tcPr>
            <w:tcW w:w="1815" w:type="dxa"/>
            <w:vMerge w:val="restart"/>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jc w:val="center"/>
        </w:trPr>
        <w:tc>
          <w:tcPr>
            <w:tcW w:w="1814" w:type="dxa"/>
            <w:vMerge w:val="continue"/>
            <w:vAlign w:val="center"/>
          </w:tcPr>
          <w:p>
            <w:pPr>
              <w:widowControl/>
              <w:snapToGrid w:val="0"/>
              <w:jc w:val="center"/>
              <w:rPr>
                <w:rFonts w:hint="eastAsia" w:ascii="宋体" w:hAnsi="宋体" w:cs="宋体"/>
                <w:spacing w:val="15"/>
                <w:kern w:val="0"/>
                <w:szCs w:val="21"/>
              </w:rPr>
            </w:pPr>
          </w:p>
        </w:tc>
        <w:tc>
          <w:tcPr>
            <w:tcW w:w="910" w:type="dxa"/>
            <w:vAlign w:val="center"/>
          </w:tcPr>
          <w:p>
            <w:pPr>
              <w:snapToGrid w:val="0"/>
              <w:jc w:val="center"/>
              <w:rPr>
                <w:rFonts w:hint="eastAsia" w:ascii="宋体" w:hAnsi="宋体" w:cs="宋体"/>
                <w:b/>
                <w:kern w:val="0"/>
                <w:szCs w:val="21"/>
              </w:rPr>
            </w:pPr>
            <w:r>
              <w:rPr>
                <w:rFonts w:hint="eastAsia" w:ascii="宋体" w:hAnsi="宋体" w:cs="宋体"/>
                <w:b/>
                <w:kern w:val="0"/>
                <w:szCs w:val="21"/>
              </w:rPr>
              <w:t>理论</w:t>
            </w:r>
          </w:p>
        </w:tc>
        <w:tc>
          <w:tcPr>
            <w:tcW w:w="904" w:type="dxa"/>
            <w:vAlign w:val="center"/>
          </w:tcPr>
          <w:p>
            <w:pPr>
              <w:snapToGrid w:val="0"/>
              <w:jc w:val="center"/>
              <w:rPr>
                <w:rFonts w:hint="eastAsia" w:ascii="宋体" w:hAnsi="宋体" w:cs="宋体"/>
                <w:b/>
                <w:kern w:val="0"/>
                <w:szCs w:val="21"/>
              </w:rPr>
            </w:pPr>
            <w:r>
              <w:rPr>
                <w:rFonts w:hint="eastAsia" w:ascii="宋体" w:hAnsi="宋体" w:cs="宋体"/>
                <w:b/>
                <w:kern w:val="0"/>
                <w:szCs w:val="21"/>
              </w:rPr>
              <w:t>实践</w:t>
            </w:r>
          </w:p>
        </w:tc>
        <w:tc>
          <w:tcPr>
            <w:tcW w:w="1814" w:type="dxa"/>
            <w:vMerge w:val="continue"/>
            <w:vAlign w:val="center"/>
          </w:tcPr>
          <w:p>
            <w:pPr>
              <w:widowControl/>
              <w:snapToGrid w:val="0"/>
              <w:jc w:val="center"/>
              <w:rPr>
                <w:rFonts w:hint="eastAsia" w:ascii="宋体" w:hAnsi="宋体" w:cs="宋体"/>
                <w:b/>
                <w:kern w:val="0"/>
                <w:szCs w:val="21"/>
              </w:rPr>
            </w:pPr>
          </w:p>
        </w:tc>
        <w:tc>
          <w:tcPr>
            <w:tcW w:w="926" w:type="dxa"/>
            <w:vAlign w:val="center"/>
          </w:tcPr>
          <w:p>
            <w:pPr>
              <w:snapToGrid w:val="0"/>
              <w:jc w:val="center"/>
              <w:rPr>
                <w:rFonts w:hint="eastAsia" w:ascii="宋体" w:hAnsi="宋体" w:cs="宋体"/>
                <w:b/>
                <w:kern w:val="0"/>
                <w:szCs w:val="21"/>
              </w:rPr>
            </w:pPr>
            <w:r>
              <w:rPr>
                <w:rFonts w:hint="eastAsia" w:ascii="宋体" w:hAnsi="宋体" w:cs="宋体"/>
                <w:b/>
                <w:kern w:val="0"/>
                <w:szCs w:val="21"/>
              </w:rPr>
              <w:t>理论</w:t>
            </w:r>
          </w:p>
        </w:tc>
        <w:tc>
          <w:tcPr>
            <w:tcW w:w="889" w:type="dxa"/>
            <w:vAlign w:val="center"/>
          </w:tcPr>
          <w:p>
            <w:pPr>
              <w:snapToGrid w:val="0"/>
              <w:jc w:val="center"/>
              <w:rPr>
                <w:rFonts w:hint="eastAsia" w:ascii="宋体" w:hAnsi="宋体" w:cs="宋体"/>
                <w:b/>
                <w:kern w:val="0"/>
                <w:szCs w:val="21"/>
              </w:rPr>
            </w:pPr>
            <w:r>
              <w:rPr>
                <w:rFonts w:hint="eastAsia" w:ascii="宋体" w:hAnsi="宋体" w:cs="宋体"/>
                <w:b/>
                <w:kern w:val="0"/>
                <w:szCs w:val="21"/>
              </w:rPr>
              <w:t>实践</w:t>
            </w:r>
          </w:p>
        </w:tc>
        <w:tc>
          <w:tcPr>
            <w:tcW w:w="1815" w:type="dxa"/>
            <w:vMerge w:val="continue"/>
            <w:vAlign w:val="center"/>
          </w:tcPr>
          <w:p>
            <w:pPr>
              <w:widowControl/>
              <w:snapToGrid w:val="0"/>
              <w:jc w:val="center"/>
              <w:rPr>
                <w:rFonts w:hint="eastAsia" w:ascii="宋体" w:hAnsi="宋体" w:cs="宋体"/>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14" w:type="dxa"/>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综合素质课程</w:t>
            </w:r>
          </w:p>
        </w:tc>
        <w:tc>
          <w:tcPr>
            <w:tcW w:w="910"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30.5</w:t>
            </w:r>
          </w:p>
        </w:tc>
        <w:tc>
          <w:tcPr>
            <w:tcW w:w="904"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12.5</w:t>
            </w:r>
          </w:p>
        </w:tc>
        <w:tc>
          <w:tcPr>
            <w:tcW w:w="1814" w:type="dxa"/>
            <w:vAlign w:val="center"/>
          </w:tcPr>
          <w:p>
            <w:pPr>
              <w:jc w:val="center"/>
              <w:rPr>
                <w:rFonts w:ascii="宋体" w:hAnsi="宋体" w:cs="宋体"/>
                <w:szCs w:val="21"/>
              </w:rPr>
            </w:pPr>
            <w:r>
              <w:rPr>
                <w:rFonts w:hint="eastAsia"/>
                <w:szCs w:val="21"/>
              </w:rPr>
              <w:t>35.83</w:t>
            </w:r>
          </w:p>
        </w:tc>
        <w:tc>
          <w:tcPr>
            <w:tcW w:w="926"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476</w:t>
            </w:r>
          </w:p>
        </w:tc>
        <w:tc>
          <w:tcPr>
            <w:tcW w:w="889"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274</w:t>
            </w:r>
          </w:p>
        </w:tc>
        <w:tc>
          <w:tcPr>
            <w:tcW w:w="1815" w:type="dxa"/>
            <w:vAlign w:val="center"/>
          </w:tcPr>
          <w:p>
            <w:pPr>
              <w:jc w:val="center"/>
              <w:rPr>
                <w:rFonts w:ascii="宋体" w:hAnsi="宋体" w:cs="宋体"/>
                <w:szCs w:val="21"/>
              </w:rPr>
            </w:pPr>
            <w:r>
              <w:rPr>
                <w:rFonts w:hint="eastAsia"/>
                <w:szCs w:val="21"/>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14" w:type="dxa"/>
            <w:vAlign w:val="top"/>
          </w:tcPr>
          <w:p>
            <w:pPr>
              <w:widowControl/>
              <w:snapToGrid w:val="0"/>
              <w:spacing w:line="460" w:lineRule="exact"/>
              <w:rPr>
                <w:rFonts w:ascii="宋体" w:hAnsi="宋体" w:cs="宋体"/>
                <w:spacing w:val="15"/>
                <w:kern w:val="0"/>
                <w:sz w:val="18"/>
                <w:szCs w:val="18"/>
              </w:rPr>
            </w:pPr>
            <w:r>
              <w:rPr>
                <w:rFonts w:hint="eastAsia" w:ascii="宋体" w:hAnsi="宋体" w:cs="宋体"/>
                <w:b/>
                <w:bCs/>
                <w:kern w:val="0"/>
                <w:sz w:val="18"/>
                <w:szCs w:val="18"/>
              </w:rPr>
              <w:t>学科专业基础课程</w:t>
            </w:r>
          </w:p>
        </w:tc>
        <w:tc>
          <w:tcPr>
            <w:tcW w:w="910"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40</w:t>
            </w:r>
          </w:p>
        </w:tc>
        <w:tc>
          <w:tcPr>
            <w:tcW w:w="904"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7</w:t>
            </w:r>
          </w:p>
        </w:tc>
        <w:tc>
          <w:tcPr>
            <w:tcW w:w="1814" w:type="dxa"/>
            <w:vAlign w:val="center"/>
          </w:tcPr>
          <w:p>
            <w:pPr>
              <w:jc w:val="center"/>
              <w:rPr>
                <w:rFonts w:ascii="宋体" w:hAnsi="宋体" w:cs="宋体"/>
                <w:szCs w:val="21"/>
              </w:rPr>
            </w:pPr>
            <w:r>
              <w:rPr>
                <w:rFonts w:hint="eastAsia"/>
                <w:szCs w:val="21"/>
              </w:rPr>
              <w:t>39.17</w:t>
            </w:r>
          </w:p>
        </w:tc>
        <w:tc>
          <w:tcPr>
            <w:tcW w:w="926"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664</w:t>
            </w:r>
          </w:p>
        </w:tc>
        <w:tc>
          <w:tcPr>
            <w:tcW w:w="889"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118</w:t>
            </w:r>
          </w:p>
        </w:tc>
        <w:tc>
          <w:tcPr>
            <w:tcW w:w="1815" w:type="dxa"/>
            <w:vAlign w:val="center"/>
          </w:tcPr>
          <w:p>
            <w:pPr>
              <w:jc w:val="center"/>
              <w:rPr>
                <w:rFonts w:ascii="宋体" w:hAnsi="宋体" w:cs="宋体"/>
                <w:szCs w:val="21"/>
              </w:rPr>
            </w:pPr>
            <w:r>
              <w:rPr>
                <w:rFonts w:hint="eastAsia"/>
                <w:szCs w:val="21"/>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14" w:type="dxa"/>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专业课程</w:t>
            </w:r>
          </w:p>
        </w:tc>
        <w:tc>
          <w:tcPr>
            <w:tcW w:w="910"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16</w:t>
            </w:r>
          </w:p>
        </w:tc>
        <w:tc>
          <w:tcPr>
            <w:tcW w:w="904"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6</w:t>
            </w:r>
          </w:p>
        </w:tc>
        <w:tc>
          <w:tcPr>
            <w:tcW w:w="1814" w:type="dxa"/>
            <w:vAlign w:val="center"/>
          </w:tcPr>
          <w:p>
            <w:pPr>
              <w:jc w:val="center"/>
              <w:rPr>
                <w:rFonts w:ascii="宋体" w:hAnsi="宋体" w:cs="宋体"/>
                <w:szCs w:val="21"/>
              </w:rPr>
            </w:pPr>
            <w:r>
              <w:rPr>
                <w:rFonts w:hint="eastAsia"/>
                <w:szCs w:val="21"/>
              </w:rPr>
              <w:t>18.33</w:t>
            </w:r>
          </w:p>
        </w:tc>
        <w:tc>
          <w:tcPr>
            <w:tcW w:w="926"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313</w:t>
            </w:r>
          </w:p>
        </w:tc>
        <w:tc>
          <w:tcPr>
            <w:tcW w:w="889" w:type="dxa"/>
            <w:vAlign w:val="center"/>
          </w:tcPr>
          <w:p>
            <w:pPr>
              <w:widowControl/>
              <w:snapToGrid w:val="0"/>
              <w:jc w:val="center"/>
              <w:rPr>
                <w:rFonts w:hint="eastAsia" w:ascii="宋体" w:hAnsi="宋体" w:eastAsia="宋体" w:cs="宋体"/>
                <w:spacing w:val="15"/>
                <w:kern w:val="0"/>
                <w:szCs w:val="21"/>
                <w:lang w:eastAsia="zh-CN"/>
              </w:rPr>
            </w:pPr>
            <w:r>
              <w:rPr>
                <w:rFonts w:hint="eastAsia" w:ascii="宋体" w:hAnsi="宋体" w:cs="宋体"/>
                <w:spacing w:val="15"/>
                <w:kern w:val="0"/>
                <w:szCs w:val="21"/>
                <w:lang w:val="en-US" w:eastAsia="zh-CN"/>
              </w:rPr>
              <w:t>129</w:t>
            </w:r>
          </w:p>
        </w:tc>
        <w:tc>
          <w:tcPr>
            <w:tcW w:w="1815" w:type="dxa"/>
            <w:vAlign w:val="center"/>
          </w:tcPr>
          <w:p>
            <w:pPr>
              <w:jc w:val="center"/>
              <w:rPr>
                <w:rFonts w:ascii="宋体" w:hAnsi="宋体" w:cs="宋体"/>
                <w:szCs w:val="21"/>
              </w:rPr>
            </w:pPr>
            <w:r>
              <w:rPr>
                <w:rFonts w:hint="eastAsia"/>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14" w:type="dxa"/>
            <w:vAlign w:val="top"/>
          </w:tcPr>
          <w:p>
            <w:pPr>
              <w:widowControl/>
              <w:snapToGrid w:val="0"/>
              <w:spacing w:line="460" w:lineRule="exact"/>
              <w:jc w:val="center"/>
              <w:rPr>
                <w:rFonts w:ascii="宋体" w:hAnsi="宋体" w:cs="宋体"/>
                <w:spacing w:val="15"/>
                <w:kern w:val="0"/>
                <w:szCs w:val="21"/>
              </w:rPr>
            </w:pPr>
            <w:r>
              <w:rPr>
                <w:rFonts w:hint="eastAsia" w:ascii="宋体" w:hAnsi="宋体" w:cs="宋体"/>
                <w:b/>
                <w:bCs/>
                <w:kern w:val="0"/>
                <w:szCs w:val="21"/>
              </w:rPr>
              <w:t>职业课程</w:t>
            </w:r>
          </w:p>
        </w:tc>
        <w:tc>
          <w:tcPr>
            <w:tcW w:w="910"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0</w:t>
            </w:r>
          </w:p>
        </w:tc>
        <w:tc>
          <w:tcPr>
            <w:tcW w:w="904"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8</w:t>
            </w:r>
          </w:p>
        </w:tc>
        <w:tc>
          <w:tcPr>
            <w:tcW w:w="1814" w:type="dxa"/>
            <w:vAlign w:val="center"/>
          </w:tcPr>
          <w:p>
            <w:pPr>
              <w:jc w:val="center"/>
              <w:rPr>
                <w:rFonts w:ascii="宋体" w:hAnsi="宋体" w:cs="宋体"/>
                <w:szCs w:val="21"/>
              </w:rPr>
            </w:pPr>
            <w:r>
              <w:rPr>
                <w:rFonts w:hint="eastAsia"/>
                <w:szCs w:val="21"/>
              </w:rPr>
              <w:t>6.67</w:t>
            </w:r>
          </w:p>
        </w:tc>
        <w:tc>
          <w:tcPr>
            <w:tcW w:w="926" w:type="dxa"/>
            <w:vAlign w:val="center"/>
          </w:tcPr>
          <w:p>
            <w:pPr>
              <w:widowControl/>
              <w:snapToGrid w:val="0"/>
              <w:jc w:val="center"/>
              <w:rPr>
                <w:rFonts w:hint="eastAsia" w:ascii="宋体" w:hAnsi="宋体" w:eastAsia="宋体" w:cs="宋体"/>
                <w:spacing w:val="15"/>
                <w:kern w:val="0"/>
                <w:szCs w:val="21"/>
                <w:lang w:val="en-US" w:eastAsia="zh-CN"/>
              </w:rPr>
            </w:pPr>
            <w:r>
              <w:rPr>
                <w:rFonts w:hint="eastAsia" w:ascii="宋体" w:hAnsi="宋体" w:cs="宋体"/>
                <w:spacing w:val="15"/>
                <w:kern w:val="0"/>
                <w:szCs w:val="21"/>
                <w:lang w:val="en-US" w:eastAsia="zh-CN"/>
              </w:rPr>
              <w:t>0</w:t>
            </w:r>
          </w:p>
        </w:tc>
        <w:tc>
          <w:tcPr>
            <w:tcW w:w="889"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38</w:t>
            </w:r>
          </w:p>
        </w:tc>
        <w:tc>
          <w:tcPr>
            <w:tcW w:w="1815" w:type="dxa"/>
            <w:vAlign w:val="center"/>
          </w:tcPr>
          <w:p>
            <w:pPr>
              <w:jc w:val="center"/>
              <w:rPr>
                <w:rFonts w:ascii="宋体" w:hAnsi="宋体" w:cs="宋体"/>
                <w:szCs w:val="21"/>
              </w:rPr>
            </w:pPr>
            <w:r>
              <w:rPr>
                <w:rFonts w:hint="eastAsia"/>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814" w:type="dxa"/>
            <w:vAlign w:val="center"/>
          </w:tcPr>
          <w:p>
            <w:pPr>
              <w:widowControl/>
              <w:snapToGrid w:val="0"/>
              <w:jc w:val="center"/>
              <w:rPr>
                <w:rFonts w:hint="eastAsia" w:ascii="宋体" w:hAnsi="宋体" w:cs="宋体"/>
                <w:spacing w:val="15"/>
                <w:kern w:val="0"/>
                <w:szCs w:val="21"/>
              </w:rPr>
            </w:pPr>
            <w:r>
              <w:rPr>
                <w:rFonts w:hint="eastAsia" w:ascii="宋体" w:hAnsi="宋体" w:cs="宋体"/>
                <w:b/>
                <w:kern w:val="0"/>
                <w:szCs w:val="21"/>
              </w:rPr>
              <w:t>总  计</w:t>
            </w:r>
          </w:p>
        </w:tc>
        <w:tc>
          <w:tcPr>
            <w:tcW w:w="1814" w:type="dxa"/>
            <w:gridSpan w:val="2"/>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120</w:t>
            </w:r>
          </w:p>
        </w:tc>
        <w:tc>
          <w:tcPr>
            <w:tcW w:w="1814"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100</w:t>
            </w:r>
          </w:p>
        </w:tc>
        <w:tc>
          <w:tcPr>
            <w:tcW w:w="1815" w:type="dxa"/>
            <w:gridSpan w:val="2"/>
            <w:vAlign w:val="center"/>
          </w:tcPr>
          <w:p>
            <w:pPr>
              <w:jc w:val="center"/>
              <w:rPr>
                <w:rFonts w:hint="eastAsia" w:ascii="宋体" w:hAnsi="宋体" w:eastAsia="宋体" w:cs="宋体"/>
                <w:szCs w:val="21"/>
                <w:lang w:eastAsia="zh-CN"/>
              </w:rPr>
            </w:pPr>
            <w:r>
              <w:rPr>
                <w:rFonts w:hint="eastAsia" w:ascii="宋体" w:hAnsi="宋体"/>
                <w:szCs w:val="21"/>
                <w:lang w:val="en-US" w:eastAsia="zh-CN"/>
              </w:rPr>
              <w:t>2108</w:t>
            </w:r>
          </w:p>
        </w:tc>
        <w:tc>
          <w:tcPr>
            <w:tcW w:w="1815" w:type="dxa"/>
            <w:vAlign w:val="center"/>
          </w:tcPr>
          <w:p>
            <w:pPr>
              <w:widowControl/>
              <w:snapToGrid w:val="0"/>
              <w:jc w:val="center"/>
              <w:rPr>
                <w:rFonts w:hint="eastAsia" w:ascii="宋体" w:hAnsi="宋体" w:cs="宋体"/>
                <w:spacing w:val="15"/>
                <w:kern w:val="0"/>
                <w:szCs w:val="21"/>
              </w:rPr>
            </w:pPr>
            <w:r>
              <w:rPr>
                <w:rFonts w:hint="eastAsia" w:ascii="宋体" w:hAnsi="宋体" w:cs="宋体"/>
                <w:spacing w:val="15"/>
                <w:kern w:val="0"/>
                <w:szCs w:val="21"/>
              </w:rPr>
              <w:t>100</w:t>
            </w:r>
          </w:p>
        </w:tc>
      </w:tr>
    </w:tbl>
    <w:p>
      <w:pPr>
        <w:rPr>
          <w:rFonts w:ascii="仿宋_GB2312" w:hAnsi="华文中宋" w:eastAsia="仿宋_GB2312"/>
        </w:rPr>
      </w:pPr>
      <w:r>
        <w:rPr>
          <w:rFonts w:hint="eastAsia"/>
          <w:b/>
        </w:rPr>
        <w:t>说明：</w:t>
      </w:r>
      <w:r>
        <w:rPr>
          <w:rFonts w:hint="eastAsia"/>
        </w:rPr>
        <w:t>实践课学分总计33.5 ，占总学分比例为27.9%；实践课学时总计547,占总学时比例为27.35%。</w:t>
      </w: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hint="eastAsia" w:ascii="仿宋_GB2312" w:eastAsia="仿宋_GB2312"/>
          <w:sz w:val="28"/>
          <w:szCs w:val="28"/>
          <w:lang w:eastAsia="zh-CN"/>
        </w:rPr>
      </w:pPr>
      <w:r>
        <w:rPr>
          <w:rFonts w:hint="eastAsia" w:ascii="仿宋_GB2312" w:eastAsia="仿宋_GB2312"/>
          <w:sz w:val="28"/>
          <w:szCs w:val="28"/>
          <w:lang w:eastAsia="zh-CN"/>
        </w:rPr>
        <w:t>附表</w:t>
      </w:r>
      <w:r>
        <w:rPr>
          <w:rFonts w:hint="eastAsia" w:ascii="仿宋_GB2312" w:eastAsia="仿宋_GB2312"/>
          <w:sz w:val="28"/>
          <w:szCs w:val="28"/>
          <w:lang w:val="en-US" w:eastAsia="zh-CN"/>
        </w:rPr>
        <w:t>3：</w:t>
      </w: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p>
      <w:pPr>
        <w:pStyle w:val="5"/>
        <w:spacing w:before="0" w:beforeAutospacing="0" w:after="0" w:afterAutospacing="0"/>
        <w:jc w:val="both"/>
        <w:rPr>
          <w:rFonts w:ascii="仿宋_GB2312" w:eastAsia="仿宋_GB2312"/>
          <w:sz w:val="28"/>
          <w:szCs w:val="28"/>
        </w:rPr>
      </w:pPr>
    </w:p>
    <w:tbl>
      <w:tblPr>
        <w:tblStyle w:val="7"/>
        <w:tblW w:w="10020" w:type="dxa"/>
        <w:tblInd w:w="-6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3"/>
        <w:gridCol w:w="1012"/>
        <w:gridCol w:w="1425"/>
        <w:gridCol w:w="562"/>
        <w:gridCol w:w="533"/>
        <w:gridCol w:w="510"/>
        <w:gridCol w:w="405"/>
        <w:gridCol w:w="375"/>
        <w:gridCol w:w="390"/>
        <w:gridCol w:w="375"/>
        <w:gridCol w:w="465"/>
        <w:gridCol w:w="495"/>
        <w:gridCol w:w="465"/>
        <w:gridCol w:w="465"/>
        <w:gridCol w:w="450"/>
        <w:gridCol w:w="465"/>
        <w:gridCol w:w="465"/>
        <w:gridCol w:w="495"/>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480" w:hRule="atLeast"/>
        </w:trPr>
        <w:tc>
          <w:tcPr>
            <w:tcW w:w="10005" w:type="dxa"/>
            <w:gridSpan w:val="1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行政管理专科专业教学计划进程表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30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别</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码</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称</w:t>
            </w:r>
          </w:p>
        </w:tc>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修</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分</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时</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理论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教学</w:t>
            </w:r>
          </w:p>
        </w:tc>
        <w:tc>
          <w:tcPr>
            <w:tcW w:w="7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教学</w:t>
            </w:r>
          </w:p>
        </w:tc>
        <w:tc>
          <w:tcPr>
            <w:tcW w:w="280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开课学年、学期及周学时</w:t>
            </w: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3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280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3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7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30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学分</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学时</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学分</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3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考试</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育</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思想道德修养与法律基础</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96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毛泽东思想和中国特色社会主义理论体系概论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大学英语</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计算机文化基础</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形势与政策</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军事理论训练与安全教育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社会实践</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GZ09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大学生心理健康教育</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人文素养类课程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科学素养类课程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艺术素养类课程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学</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科</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专</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业</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基</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础</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课</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程</w:t>
            </w:r>
            <w:bookmarkStart w:id="0" w:name="_GoBack"/>
            <w:bookmarkEnd w:id="0"/>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公共关系学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社会保障概论</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民法学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政治经济学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人力资源管理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政治学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管理心理学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6502031609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行政管理学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行政法学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gridAfter w:val="1"/>
          <w:wAfter w:w="15" w:type="dxa"/>
          <w:trHeight w:val="543" w:hRule="atLeast"/>
        </w:trPr>
        <w:tc>
          <w:tcPr>
            <w:tcW w:w="6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中国近代史纲要</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法理学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西方经济学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公共政策学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公共伦理学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刑法学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国际贸易</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6502031619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市场营销学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经济法学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社区管理</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社会调查与研究</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国家公务员制度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西方政治制度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程</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GZ10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大学生职业发展与就业指导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毕业实习</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社会考察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6502031628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顶岗见习</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必修</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3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合计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2108</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1634</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10020"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1.形势与政策课按平均每学期16周，每周1学时，计2学分。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2.大学生职业发展与就业指导课程分两段上课：大学生职业发展部分20学时，在第二学期完成；就业指导部分18学时，在第五学期完成，计1学分，以理论课、讲座、答疑的形式进行。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3.实践3个学分，其中有1个学分是劳动实践，时间为一周，安排在第二、三学期进行。社会考察1个学分，时间为一周，本专业安排在第三学期周末进行。</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4.对于中学阶段学习俄语的同学，可将大学英语（GZ04）改学为大学俄语（GZ11）。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5.为鼓励学生参加学科专业竞赛和创新创业活动，对于在活动中获奖者，依据济院政字〔2012〕32号文件，计算相应学分，并可免修人文素养类、科学素养类和艺术素养类课程的一定学分。</w:t>
            </w:r>
          </w:p>
        </w:tc>
      </w:tr>
    </w:tbl>
    <w:p>
      <w:pPr>
        <w:pStyle w:val="5"/>
        <w:spacing w:before="0" w:beforeAutospacing="0" w:after="0" w:afterAutospacing="0"/>
        <w:jc w:val="both"/>
        <w:rPr>
          <w:rFonts w:ascii="仿宋_GB2312" w:eastAsia="仿宋_GB2312"/>
          <w:sz w:val="28"/>
          <w:szCs w:val="28"/>
        </w:rPr>
      </w:pPr>
    </w:p>
    <w:p>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roman"/>
    <w:pitch w:val="default"/>
    <w:sig w:usb0="00000001" w:usb1="080E0000" w:usb2="00000000" w:usb3="00000000" w:csb0="00040000" w:csb1="00000000"/>
  </w:font>
  <w:font w:name="Dotum">
    <w:panose1 w:val="020B0600000101010101"/>
    <w:charset w:val="81"/>
    <w:family w:val="moder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04F47"/>
    <w:rsid w:val="175475AB"/>
    <w:rsid w:val="30C56CE3"/>
    <w:rsid w:val="36072189"/>
    <w:rsid w:val="46087975"/>
    <w:rsid w:val="4E1458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2016-05-16T09:30:07Z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