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rPr>
          <w:rFonts w:hint="eastAsia" w:ascii="仿宋_GB2312" w:eastAsia="仿宋_GB2312" w:cs="Times New Roman"/>
          <w:b/>
          <w:bCs/>
          <w:sz w:val="32"/>
          <w:szCs w:val="32"/>
        </w:rPr>
      </w:pPr>
    </w:p>
    <w:p>
      <w:pPr>
        <w:spacing w:line="640" w:lineRule="exact"/>
        <w:jc w:val="center"/>
        <w:rPr>
          <w:rFonts w:ascii="方正大标宋简体" w:eastAsia="方正大标宋简体"/>
          <w:b/>
          <w:color w:val="000000"/>
          <w:sz w:val="36"/>
          <w:szCs w:val="36"/>
        </w:rPr>
      </w:pPr>
      <w:r>
        <w:rPr>
          <w:rFonts w:hint="eastAsia" w:ascii="方正大标宋简体" w:eastAsia="方正大标宋简体"/>
          <w:b/>
          <w:color w:val="000000"/>
          <w:sz w:val="36"/>
          <w:szCs w:val="36"/>
        </w:rPr>
        <w:t>行政管理专业（</w:t>
      </w:r>
      <w:r>
        <w:rPr>
          <w:rFonts w:ascii="方正大标宋简体" w:eastAsia="方正大标宋简体"/>
          <w:b/>
          <w:color w:val="000000"/>
          <w:sz w:val="36"/>
          <w:szCs w:val="36"/>
        </w:rPr>
        <w:t>110306</w:t>
      </w:r>
      <w:r>
        <w:rPr>
          <w:rFonts w:hint="eastAsia" w:ascii="方正大标宋简体" w:eastAsia="方正大标宋简体"/>
          <w:b/>
          <w:color w:val="000000"/>
          <w:sz w:val="36"/>
          <w:szCs w:val="36"/>
        </w:rPr>
        <w:t>）人才培养方案</w:t>
      </w:r>
    </w:p>
    <w:p>
      <w:pPr>
        <w:pStyle w:val="2"/>
        <w:tabs>
          <w:tab w:val="left" w:pos="1980"/>
        </w:tabs>
        <w:spacing w:line="200" w:lineRule="exact"/>
        <w:ind w:firstLine="422" w:firstLineChars="200"/>
        <w:rPr>
          <w:rFonts w:cs="Times New Roman"/>
          <w:b/>
          <w:bCs/>
        </w:rPr>
      </w:pPr>
      <w:r>
        <w:rPr>
          <w:rFonts w:cs="Times New Roman"/>
          <w:b/>
          <w:bCs/>
        </w:rPr>
        <w:tab/>
      </w:r>
    </w:p>
    <w:p>
      <w:pPr>
        <w:pStyle w:val="2"/>
        <w:spacing w:line="400" w:lineRule="exact"/>
        <w:ind w:firstLine="560" w:firstLineChars="200"/>
        <w:rPr>
          <w:rFonts w:ascii="黑体" w:hAnsi="宋体" w:eastAsia="黑体" w:cs="Courier New"/>
          <w:sz w:val="28"/>
          <w:szCs w:val="28"/>
        </w:rPr>
      </w:pPr>
      <w:r>
        <w:rPr>
          <w:rFonts w:hint="eastAsia" w:ascii="黑体" w:hAnsi="宋体" w:eastAsia="黑体" w:cs="Courier New"/>
          <w:sz w:val="28"/>
          <w:szCs w:val="28"/>
        </w:rPr>
        <w:t>一、专业分析</w:t>
      </w:r>
    </w:p>
    <w:p>
      <w:pPr>
        <w:pStyle w:val="2"/>
        <w:spacing w:line="400" w:lineRule="exact"/>
        <w:ind w:firstLine="480" w:firstLineChars="200"/>
        <w:rPr>
          <w:rFonts w:hAnsi="宋体" w:cs="Courier New"/>
          <w:sz w:val="24"/>
          <w:szCs w:val="24"/>
        </w:rPr>
      </w:pPr>
      <w:r>
        <w:rPr>
          <w:rFonts w:hint="eastAsia" w:hAnsi="宋体" w:cs="Courier New"/>
          <w:sz w:val="24"/>
          <w:szCs w:val="24"/>
        </w:rPr>
        <w:t>行政管理是根据管理学、政治学、行政学和法学的一般原理，从整体上研究国家及公共事务管理的原理与方法，研究国家对政治、经济、文化、科技、社会等各类部门进行管理的原则与方法，研究国家机关、企事业单位及公共事业组织的行政改革方案设计、途径和方法以及提高行政效率的具体措施等内容。</w:t>
      </w:r>
    </w:p>
    <w:p>
      <w:pPr>
        <w:pStyle w:val="2"/>
        <w:spacing w:line="400" w:lineRule="exact"/>
        <w:ind w:firstLine="480" w:firstLineChars="200"/>
        <w:rPr>
          <w:rFonts w:hAnsi="宋体" w:cs="Courier New"/>
          <w:sz w:val="24"/>
          <w:szCs w:val="24"/>
        </w:rPr>
      </w:pPr>
      <w:r>
        <w:rPr>
          <w:rFonts w:hint="eastAsia" w:hAnsi="宋体" w:cs="Courier New"/>
          <w:sz w:val="24"/>
          <w:szCs w:val="24"/>
        </w:rPr>
        <w:t>从发展历程来看，自</w:t>
      </w:r>
      <w:r>
        <w:rPr>
          <w:rFonts w:hAnsi="宋体" w:cs="Courier New"/>
          <w:sz w:val="24"/>
          <w:szCs w:val="24"/>
        </w:rPr>
        <w:t>1924</w:t>
      </w:r>
      <w:r>
        <w:rPr>
          <w:rFonts w:hint="eastAsia" w:hAnsi="宋体" w:cs="Courier New"/>
          <w:sz w:val="24"/>
          <w:szCs w:val="24"/>
        </w:rPr>
        <w:t>年美国锡拉丘大学马克斯韦尔公民与公共事务学院就成立了公共服务培训学校，设立了第一个面向公共行政和管理领域的高级培养计划以来，行政管理在国外已有近一个世纪的发展历史。而我国在改革开放后才恢复了行政管理学科。但长期以来，行政管理学科都隶属于政治学门类，注重培养从事学术性研究和教学人员，且知识面较窄，现代科学知识及管理知识和技能学习掌握较少，不能适应现代高技术信息社会对管理人才的高要求。在</w:t>
      </w:r>
      <w:r>
        <w:rPr>
          <w:rFonts w:hAnsi="宋体" w:cs="Courier New"/>
          <w:sz w:val="24"/>
          <w:szCs w:val="24"/>
        </w:rPr>
        <w:t>1998</w:t>
      </w:r>
      <w:r>
        <w:rPr>
          <w:rFonts w:hint="eastAsia" w:hAnsi="宋体" w:cs="Courier New"/>
          <w:sz w:val="24"/>
          <w:szCs w:val="24"/>
        </w:rPr>
        <w:t>年教育部制定的新学科目录中，将公共管理从政治学分离出来，列为管理类学科门类下的一级学科，行政管理作为其下的二级学科，标志着公共管理及行政管理学科进入了一个新的发展时期。</w:t>
      </w:r>
    </w:p>
    <w:p>
      <w:pPr>
        <w:pStyle w:val="2"/>
        <w:spacing w:line="400" w:lineRule="exact"/>
        <w:ind w:firstLine="480" w:firstLineChars="200"/>
        <w:rPr>
          <w:rFonts w:hAnsi="宋体" w:cs="Courier New"/>
          <w:sz w:val="24"/>
          <w:szCs w:val="24"/>
        </w:rPr>
      </w:pPr>
      <w:r>
        <w:rPr>
          <w:rFonts w:hint="eastAsia" w:hAnsi="宋体" w:cs="Courier New"/>
          <w:sz w:val="24"/>
          <w:szCs w:val="24"/>
        </w:rPr>
        <w:t>从市场前景来看，改革开放以来，我国在经济体制改革和经济建设方面取得了巨大成就，但政治体制改革明显滞后，已经到了制约我国经济建设进一步健康发展的地步。从党的“十三大”把政治体制改革提上议事日程以来，特别是党的十八届三中全会提出全面深化改革的若干决定以来，党和政府对深化行政管理体制改革的重视程度不断提高。当前，山东省正积极贯彻落实党的十八大和十八届三中全会的战略部署，全面推进各领域的综合协调改革，推动由“山东制造”向“山东创造”转型，推动服务业大踏步前进，推动事业单位改革，支持有条件的企业全球布局产业链。与此相应，企事业单位和社会公共组织对提高内部行政管理效率、改善行政管理效能的需求也明显增强。这既对我国行政管理理论的发展深化提出了更高要求，也对具有理论基础与实践应用技能相结合的复合型行政管理专业人才构成了巨大的市场现实需求。</w:t>
      </w:r>
    </w:p>
    <w:p>
      <w:pPr>
        <w:pStyle w:val="2"/>
        <w:spacing w:line="400" w:lineRule="exact"/>
        <w:ind w:firstLine="480" w:firstLineChars="200"/>
        <w:rPr>
          <w:rFonts w:hAnsi="宋体" w:cs="Courier New"/>
          <w:sz w:val="24"/>
          <w:szCs w:val="24"/>
        </w:rPr>
      </w:pPr>
      <w:r>
        <w:rPr>
          <w:rFonts w:hint="eastAsia" w:hAnsi="宋体" w:cs="Courier New"/>
          <w:sz w:val="24"/>
          <w:szCs w:val="24"/>
        </w:rPr>
        <w:t>根据《山东省统计年鉴（</w:t>
      </w:r>
      <w:r>
        <w:rPr>
          <w:rFonts w:hAnsi="宋体" w:cs="Courier New"/>
          <w:sz w:val="24"/>
          <w:szCs w:val="24"/>
        </w:rPr>
        <w:t>201</w:t>
      </w:r>
      <w:r>
        <w:rPr>
          <w:rFonts w:hint="eastAsia" w:hAnsi="宋体" w:cs="Courier New"/>
          <w:sz w:val="24"/>
          <w:szCs w:val="24"/>
        </w:rPr>
        <w:t>4）》数据，截止</w:t>
      </w:r>
      <w:r>
        <w:rPr>
          <w:rFonts w:hAnsi="宋体" w:cs="Courier New"/>
          <w:sz w:val="24"/>
          <w:szCs w:val="24"/>
        </w:rPr>
        <w:t>201</w:t>
      </w:r>
      <w:r>
        <w:rPr>
          <w:rFonts w:hint="eastAsia" w:hAnsi="宋体" w:cs="Courier New"/>
          <w:sz w:val="24"/>
          <w:szCs w:val="24"/>
        </w:rPr>
        <w:t>3年底，我省总人口</w:t>
      </w:r>
      <w:r>
        <w:rPr>
          <w:rFonts w:hAnsi="宋体" w:cs="Courier New"/>
          <w:sz w:val="24"/>
          <w:szCs w:val="24"/>
        </w:rPr>
        <w:t>9685</w:t>
      </w:r>
      <w:r>
        <w:rPr>
          <w:rFonts w:hint="eastAsia" w:hAnsi="宋体" w:cs="Courier New"/>
          <w:sz w:val="24"/>
          <w:szCs w:val="24"/>
        </w:rPr>
        <w:t>万，</w:t>
      </w:r>
      <w:r>
        <w:rPr>
          <w:rFonts w:hAnsi="宋体" w:cs="Courier New"/>
          <w:sz w:val="24"/>
          <w:szCs w:val="24"/>
        </w:rPr>
        <w:t>65</w:t>
      </w:r>
      <w:r>
        <w:rPr>
          <w:rFonts w:hint="eastAsia" w:hAnsi="宋体" w:cs="Courier New"/>
          <w:sz w:val="24"/>
          <w:szCs w:val="24"/>
        </w:rPr>
        <w:t>岁及以上人口占</w:t>
      </w:r>
      <w:r>
        <w:rPr>
          <w:rFonts w:hAnsi="宋体" w:cs="Courier New"/>
          <w:sz w:val="24"/>
          <w:szCs w:val="24"/>
        </w:rPr>
        <w:t>10.4%</w:t>
      </w:r>
      <w:r>
        <w:rPr>
          <w:rFonts w:hint="eastAsia" w:hAnsi="宋体" w:cs="Courier New"/>
          <w:sz w:val="24"/>
          <w:szCs w:val="24"/>
        </w:rPr>
        <w:t>，总抚养比为</w:t>
      </w:r>
      <w:r>
        <w:rPr>
          <w:rFonts w:hAnsi="宋体" w:cs="Courier New"/>
          <w:sz w:val="24"/>
          <w:szCs w:val="24"/>
        </w:rPr>
        <w:t>36%</w:t>
      </w:r>
      <w:r>
        <w:rPr>
          <w:rFonts w:hint="eastAsia" w:hAnsi="宋体" w:cs="Courier New"/>
          <w:sz w:val="24"/>
          <w:szCs w:val="24"/>
        </w:rPr>
        <w:t>，社会老龄化问题明显，老年经济对社会保障等服务性领域人才需求空间巨大。山东省城镇化率水平为</w:t>
      </w:r>
      <w:r>
        <w:rPr>
          <w:rFonts w:hAnsi="宋体" w:cs="Courier New"/>
          <w:sz w:val="24"/>
          <w:szCs w:val="24"/>
        </w:rPr>
        <w:t>49.3%</w:t>
      </w:r>
      <w:r>
        <w:rPr>
          <w:rFonts w:hint="eastAsia" w:hAnsi="宋体" w:cs="Courier New"/>
          <w:sz w:val="24"/>
          <w:szCs w:val="24"/>
        </w:rPr>
        <w:t>，伴随着我省经济社会的进一步健康发展和城乡统筹协调发展的逐步推进，城镇化水平和质量必然更加规范和提升，从而催生出对城市管理与规划人才的急迫需求。各类法人组织</w:t>
      </w:r>
      <w:r>
        <w:rPr>
          <w:rFonts w:hAnsi="宋体" w:cs="Courier New"/>
          <w:sz w:val="24"/>
          <w:szCs w:val="24"/>
        </w:rPr>
        <w:t>90.6</w:t>
      </w:r>
      <w:r>
        <w:rPr>
          <w:rFonts w:hint="eastAsia" w:hAnsi="宋体" w:cs="Courier New"/>
          <w:sz w:val="24"/>
          <w:szCs w:val="24"/>
        </w:rPr>
        <w:t>万个，组织规范化发展对人力资源开发与管理类人才需求旺盛。</w:t>
      </w:r>
    </w:p>
    <w:p>
      <w:pPr>
        <w:pStyle w:val="2"/>
        <w:spacing w:line="400" w:lineRule="exact"/>
        <w:ind w:firstLine="480" w:firstLineChars="200"/>
        <w:rPr>
          <w:rFonts w:hAnsi="宋体" w:cs="Courier New"/>
          <w:sz w:val="24"/>
          <w:szCs w:val="24"/>
        </w:rPr>
      </w:pPr>
      <w:r>
        <w:rPr>
          <w:rFonts w:hint="eastAsia" w:hAnsi="宋体" w:cs="Courier New"/>
          <w:sz w:val="24"/>
          <w:szCs w:val="24"/>
        </w:rPr>
        <w:t>从就业方向来看，行政管理专业毕业生基础扎实，知识全面、适应性强，可就业领域广阔。可从事党政机关、企事业单位和公共事业组织的行政协理员，行政主管、人力资源主管等协调层或决策层等工作，毕业生还适宜在城镇规划与管理部门、工商行政管理部门、涉外经济管理部门、经济监督检查等管理部门从事政策和法规研究及实际工作，也适合从事学校、科研部门的教学或科研管理工作，各种企事业单位和社会组织的经营管理工作。</w:t>
      </w:r>
    </w:p>
    <w:p>
      <w:pPr>
        <w:pStyle w:val="2"/>
        <w:spacing w:line="400" w:lineRule="exact"/>
        <w:rPr>
          <w:rFonts w:ascii="黑体" w:hAnsi="宋体" w:eastAsia="黑体" w:cs="Courier New"/>
          <w:sz w:val="28"/>
          <w:szCs w:val="28"/>
        </w:rPr>
      </w:pPr>
      <w:r>
        <w:rPr>
          <w:rFonts w:hint="eastAsia" w:ascii="黑体" w:hAnsi="宋体" w:eastAsia="黑体" w:cs="Courier New"/>
          <w:sz w:val="28"/>
          <w:szCs w:val="28"/>
        </w:rPr>
        <w:t>二、培养目标</w:t>
      </w:r>
    </w:p>
    <w:p>
      <w:pPr>
        <w:pStyle w:val="2"/>
        <w:spacing w:line="400" w:lineRule="exact"/>
        <w:ind w:firstLine="480" w:firstLineChars="200"/>
        <w:rPr>
          <w:rFonts w:hAnsi="宋体" w:cs="Courier New"/>
          <w:sz w:val="24"/>
          <w:szCs w:val="24"/>
        </w:rPr>
      </w:pPr>
      <w:r>
        <w:rPr>
          <w:rFonts w:hint="eastAsia" w:hAnsi="宋体" w:cs="Courier New"/>
          <w:sz w:val="24"/>
          <w:szCs w:val="24"/>
        </w:rPr>
        <w:t>该专业培养适应政治经济与社会发展，德、智、体、美等全面发展，具有较高的人文素养、科学素养、艺术素养和公共精神，较高的专业能力和较强的学习能力与适应能力，掌握和具备管理学、政治学、经济学、法学等方面的基本理论、基本知识和基本技能，能在党政机关、企事业单位、社会团体等公共管理领域从事管理工作和科研工作的具有创新意识和实践能力的高素质应用型人才。</w:t>
      </w:r>
    </w:p>
    <w:p>
      <w:pPr>
        <w:pStyle w:val="2"/>
        <w:spacing w:line="400" w:lineRule="exact"/>
        <w:rPr>
          <w:rFonts w:ascii="黑体" w:hAnsi="宋体" w:eastAsia="黑体" w:cs="Courier New"/>
          <w:sz w:val="28"/>
          <w:szCs w:val="28"/>
        </w:rPr>
      </w:pPr>
      <w:r>
        <w:rPr>
          <w:rFonts w:hint="eastAsia" w:ascii="黑体" w:hAnsi="宋体" w:eastAsia="黑体" w:cs="Courier New"/>
          <w:sz w:val="28"/>
          <w:szCs w:val="28"/>
        </w:rPr>
        <w:t>三、培养规格</w:t>
      </w:r>
    </w:p>
    <w:p>
      <w:pPr>
        <w:spacing w:line="400" w:lineRule="exact"/>
        <w:ind w:firstLine="480" w:firstLineChars="200"/>
        <w:rPr>
          <w:rFonts w:ascii="宋体" w:hAnsi="宋体" w:cs="Courier New"/>
          <w:sz w:val="24"/>
          <w:szCs w:val="24"/>
        </w:rPr>
      </w:pPr>
      <w:r>
        <w:rPr>
          <w:rFonts w:hint="eastAsia" w:ascii="宋体" w:hAnsi="宋体" w:cs="Courier New"/>
          <w:sz w:val="24"/>
          <w:szCs w:val="24"/>
        </w:rPr>
        <w:t>本专业毕业生应在知识、能力和素质三方面达到以下要求：</w:t>
      </w:r>
    </w:p>
    <w:p>
      <w:pPr>
        <w:spacing w:line="400" w:lineRule="exact"/>
        <w:ind w:firstLine="480" w:firstLineChars="200"/>
        <w:rPr>
          <w:rFonts w:ascii="宋体" w:hAnsi="宋体" w:cs="Courier New"/>
          <w:sz w:val="24"/>
          <w:szCs w:val="24"/>
        </w:rPr>
      </w:pPr>
      <w:r>
        <w:rPr>
          <w:rFonts w:hint="eastAsia" w:ascii="宋体" w:hAnsi="宋体" w:cs="Courier New"/>
          <w:sz w:val="24"/>
          <w:szCs w:val="24"/>
        </w:rPr>
        <w:t>（一）知识要求</w:t>
      </w:r>
    </w:p>
    <w:p>
      <w:pPr>
        <w:spacing w:line="400" w:lineRule="exact"/>
        <w:ind w:firstLine="480" w:firstLineChars="200"/>
        <w:rPr>
          <w:rFonts w:ascii="宋体" w:hAnsi="宋体" w:cs="Courier New"/>
          <w:sz w:val="24"/>
          <w:szCs w:val="24"/>
        </w:rPr>
      </w:pPr>
      <w:r>
        <w:rPr>
          <w:rFonts w:ascii="宋体" w:hAnsi="宋体" w:cs="Courier New"/>
          <w:sz w:val="24"/>
          <w:szCs w:val="24"/>
        </w:rPr>
        <w:t>1</w:t>
      </w:r>
      <w:r>
        <w:rPr>
          <w:rFonts w:hint="eastAsia" w:ascii="宋体" w:hAnsi="宋体" w:cs="Courier New"/>
          <w:sz w:val="24"/>
          <w:szCs w:val="24"/>
        </w:rPr>
        <w:t>．基础知识：掌握有中国特色社会主义理论基本知识、必备的英语知识、计算机应用基础知识、一定的文学、社会学、艺术修养等方面的知识；具有必备的体育知识和一定的军事常识。</w:t>
      </w:r>
    </w:p>
    <w:p>
      <w:pPr>
        <w:spacing w:line="400" w:lineRule="exact"/>
        <w:ind w:firstLine="480" w:firstLineChars="200"/>
        <w:rPr>
          <w:rFonts w:ascii="宋体" w:hAnsi="宋体" w:cs="Courier New"/>
          <w:sz w:val="24"/>
          <w:szCs w:val="24"/>
        </w:rPr>
      </w:pPr>
      <w:r>
        <w:rPr>
          <w:rFonts w:ascii="宋体" w:hAnsi="宋体" w:cs="Courier New"/>
          <w:sz w:val="24"/>
          <w:szCs w:val="24"/>
        </w:rPr>
        <w:t>2</w:t>
      </w:r>
      <w:r>
        <w:rPr>
          <w:rFonts w:hint="eastAsia" w:ascii="宋体" w:hAnsi="宋体" w:cs="Courier New"/>
          <w:sz w:val="24"/>
          <w:szCs w:val="24"/>
        </w:rPr>
        <w:t>．专业知识：具有必备的管理学、政治学、社会学、法学基本理论；掌握管理学、政治学、社会学、公共关系学等基础知识；具有行政管理学、人力资源开发与管理、公共政策学、社会保障等知识；具有市政管理学、电子政务、人力资源管理、企业管理等知识。</w:t>
      </w:r>
    </w:p>
    <w:p>
      <w:pPr>
        <w:spacing w:line="400" w:lineRule="exact"/>
        <w:ind w:firstLine="480" w:firstLineChars="200"/>
        <w:rPr>
          <w:rFonts w:ascii="宋体" w:hAnsi="宋体" w:cs="Courier New"/>
          <w:sz w:val="24"/>
          <w:szCs w:val="24"/>
        </w:rPr>
      </w:pPr>
      <w:r>
        <w:rPr>
          <w:rFonts w:ascii="宋体" w:hAnsi="宋体" w:cs="Courier New"/>
          <w:sz w:val="24"/>
          <w:szCs w:val="24"/>
        </w:rPr>
        <w:t>3</w:t>
      </w:r>
      <w:r>
        <w:rPr>
          <w:rFonts w:hint="eastAsia" w:ascii="宋体" w:hAnsi="宋体" w:cs="Courier New"/>
          <w:sz w:val="24"/>
          <w:szCs w:val="24"/>
        </w:rPr>
        <w:t>．职业技能知识：掌握办公室应用软件操作，办公文秘实务操作知识，掌握调查获取数据的相关方法，掌握人力资源管理、公共政策分析运作的相关知识，掌握人际沟通技能、公共政策分析等相关知识。</w:t>
      </w:r>
    </w:p>
    <w:p>
      <w:pPr>
        <w:spacing w:line="400" w:lineRule="exact"/>
        <w:ind w:firstLine="480" w:firstLineChars="200"/>
        <w:rPr>
          <w:rFonts w:ascii="宋体" w:hAnsi="宋体" w:cs="Courier New"/>
          <w:sz w:val="24"/>
          <w:szCs w:val="24"/>
        </w:rPr>
      </w:pPr>
      <w:r>
        <w:rPr>
          <w:rFonts w:hint="eastAsia" w:ascii="宋体" w:hAnsi="宋体" w:cs="Courier New"/>
          <w:sz w:val="24"/>
          <w:szCs w:val="24"/>
        </w:rPr>
        <w:t>（二）能力要求</w:t>
      </w:r>
    </w:p>
    <w:p>
      <w:pPr>
        <w:spacing w:line="400" w:lineRule="exact"/>
        <w:ind w:firstLine="480" w:firstLineChars="200"/>
        <w:rPr>
          <w:rFonts w:ascii="宋体" w:hAnsi="宋体" w:cs="Courier New"/>
          <w:sz w:val="24"/>
          <w:szCs w:val="24"/>
        </w:rPr>
      </w:pPr>
      <w:r>
        <w:rPr>
          <w:rFonts w:ascii="宋体" w:hAnsi="宋体" w:cs="Courier New"/>
          <w:sz w:val="24"/>
          <w:szCs w:val="24"/>
        </w:rPr>
        <w:t>1</w:t>
      </w:r>
      <w:r>
        <w:rPr>
          <w:rFonts w:hint="eastAsia" w:ascii="宋体" w:hAnsi="宋体" w:cs="Courier New"/>
          <w:sz w:val="24"/>
          <w:szCs w:val="24"/>
        </w:rPr>
        <w:t>．基础能力：具有运用辩证唯物主义基本观点及方法分析和解决理论与现实问题能力；具有较高的英语和计算机应用能力；具有较强的语言及文字表达能力；具有较好的体育运动技能和锻炼能力；具有一定的艺术欣赏能力。</w:t>
      </w:r>
    </w:p>
    <w:p>
      <w:pPr>
        <w:widowControl/>
        <w:tabs>
          <w:tab w:val="left" w:pos="-234"/>
        </w:tabs>
        <w:spacing w:line="400" w:lineRule="exact"/>
        <w:ind w:firstLine="360" w:firstLineChars="150"/>
        <w:rPr>
          <w:rFonts w:ascii="宋体" w:hAnsi="宋体" w:cs="Courier New"/>
          <w:sz w:val="24"/>
          <w:szCs w:val="24"/>
        </w:rPr>
      </w:pPr>
      <w:r>
        <w:rPr>
          <w:rFonts w:ascii="宋体" w:hAnsi="宋体" w:cs="Courier New"/>
          <w:sz w:val="24"/>
          <w:szCs w:val="24"/>
        </w:rPr>
        <w:t>2</w:t>
      </w:r>
      <w:r>
        <w:rPr>
          <w:rFonts w:hint="eastAsia" w:ascii="宋体" w:hAnsi="宋体" w:cs="Courier New"/>
          <w:sz w:val="24"/>
          <w:szCs w:val="24"/>
        </w:rPr>
        <w:t>．专业能力：具有数学基础应用和数据统计分析能力；具有运用管理理论和现代管理分析方法的能力；具有利用管理学、政治学、社会学、法学等方法进行分析和研究的能力。</w:t>
      </w:r>
    </w:p>
    <w:p>
      <w:pPr>
        <w:spacing w:line="400" w:lineRule="exact"/>
        <w:ind w:firstLine="480" w:firstLineChars="200"/>
        <w:rPr>
          <w:rFonts w:ascii="宋体" w:hAnsi="宋体" w:cs="Courier New"/>
          <w:sz w:val="24"/>
          <w:szCs w:val="24"/>
        </w:rPr>
      </w:pPr>
      <w:r>
        <w:rPr>
          <w:rFonts w:ascii="宋体" w:hAnsi="宋体" w:cs="Courier New"/>
          <w:sz w:val="24"/>
          <w:szCs w:val="24"/>
        </w:rPr>
        <w:t xml:space="preserve"> 3</w:t>
      </w:r>
      <w:r>
        <w:rPr>
          <w:rFonts w:hint="eastAsia" w:ascii="宋体" w:hAnsi="宋体" w:cs="Courier New"/>
          <w:sz w:val="24"/>
          <w:szCs w:val="24"/>
        </w:rPr>
        <w:t>．职业能力：具有进行社区管理、人力资源管理运作、办公文秘、人际沟通的实务操作能力；具有一定的文献检索和科研创新能力；具有较强的团队合作能力与职业适应能力。</w:t>
      </w:r>
    </w:p>
    <w:p>
      <w:pPr>
        <w:spacing w:line="400" w:lineRule="exact"/>
        <w:ind w:firstLine="480" w:firstLineChars="200"/>
        <w:rPr>
          <w:rFonts w:ascii="宋体" w:hAnsi="宋体" w:cs="Courier New"/>
          <w:sz w:val="24"/>
          <w:szCs w:val="24"/>
        </w:rPr>
      </w:pPr>
      <w:r>
        <w:rPr>
          <w:rFonts w:hint="eastAsia" w:ascii="宋体" w:hAnsi="宋体" w:cs="Courier New"/>
          <w:sz w:val="24"/>
          <w:szCs w:val="24"/>
        </w:rPr>
        <w:t>（三）素质要求</w:t>
      </w:r>
    </w:p>
    <w:p>
      <w:pPr>
        <w:spacing w:line="400" w:lineRule="exact"/>
        <w:ind w:firstLine="480" w:firstLineChars="200"/>
        <w:rPr>
          <w:rFonts w:ascii="宋体" w:hAnsi="宋体" w:cs="Courier New"/>
          <w:sz w:val="24"/>
          <w:szCs w:val="24"/>
        </w:rPr>
      </w:pPr>
      <w:r>
        <w:rPr>
          <w:rFonts w:ascii="宋体" w:hAnsi="宋体" w:cs="Courier New"/>
          <w:sz w:val="24"/>
          <w:szCs w:val="24"/>
        </w:rPr>
        <w:t>1</w:t>
      </w:r>
      <w:r>
        <w:rPr>
          <w:rFonts w:hint="eastAsia" w:ascii="宋体" w:hAnsi="宋体" w:cs="Courier New"/>
          <w:sz w:val="24"/>
          <w:szCs w:val="24"/>
        </w:rPr>
        <w:t>．基本素质：热爱社会主义祖国，拥护中国共产党的领导，掌握马克思主义基本原理、毛泽东思想和中国特色社会主义理论体系；树立科学的世界观、人生观和价值观；具有强烈的社会责任感；遵纪守法，有良好的思想道德和社会公德。具有健康的身体素质。具有一定的文学、美学艺术修养；具备良好的心理素质和人际沟通修养；具有服务意识、现代意识和大局意识。</w:t>
      </w:r>
    </w:p>
    <w:p>
      <w:pPr>
        <w:spacing w:line="400" w:lineRule="exact"/>
        <w:ind w:firstLine="480" w:firstLineChars="200"/>
        <w:rPr>
          <w:rFonts w:ascii="宋体" w:hAnsi="宋体" w:cs="Courier New"/>
          <w:sz w:val="24"/>
          <w:szCs w:val="24"/>
        </w:rPr>
      </w:pPr>
      <w:r>
        <w:rPr>
          <w:rFonts w:ascii="宋体" w:hAnsi="宋体" w:cs="Courier New"/>
          <w:sz w:val="24"/>
          <w:szCs w:val="24"/>
        </w:rPr>
        <w:t>2</w:t>
      </w:r>
      <w:r>
        <w:rPr>
          <w:rFonts w:hint="eastAsia" w:ascii="宋体" w:hAnsi="宋体" w:cs="Courier New"/>
          <w:sz w:val="24"/>
          <w:szCs w:val="24"/>
        </w:rPr>
        <w:t>．专业素质：热爱行政管理专业，具有本专业的专业知识和专业技能；掌握管理学思维方法和管理学研究方法，具有一定的管理意识；具有从事社区管理、人力资源管理运作、办公文秘等素质；具有较强的创新意识。</w:t>
      </w:r>
    </w:p>
    <w:p>
      <w:pPr>
        <w:spacing w:line="400" w:lineRule="exact"/>
        <w:ind w:firstLine="480" w:firstLineChars="200"/>
        <w:rPr>
          <w:rFonts w:ascii="宋体" w:hAnsi="宋体" w:cs="Courier New"/>
          <w:sz w:val="24"/>
          <w:szCs w:val="24"/>
        </w:rPr>
      </w:pPr>
      <w:r>
        <w:rPr>
          <w:rFonts w:ascii="宋体" w:hAnsi="宋体" w:cs="Courier New"/>
          <w:sz w:val="24"/>
          <w:szCs w:val="24"/>
        </w:rPr>
        <w:t>3</w:t>
      </w:r>
      <w:r>
        <w:rPr>
          <w:rFonts w:hint="eastAsia" w:ascii="宋体" w:hAnsi="宋体" w:cs="Courier New"/>
          <w:sz w:val="24"/>
          <w:szCs w:val="24"/>
        </w:rPr>
        <w:t>．职业素质：具有职业规划的能力；注重职业道德修养，具有诚实守信、敬岗爱业的品质及团队合作的精神；具有求实创新意识和严谨的科学素养；具有从事社区管理、人力资源管理运作、办公文秘的实务操作职业素质。</w:t>
      </w:r>
    </w:p>
    <w:p>
      <w:pPr>
        <w:tabs>
          <w:tab w:val="left" w:pos="0"/>
        </w:tabs>
        <w:spacing w:line="360" w:lineRule="auto"/>
        <w:ind w:firstLine="480" w:firstLineChars="200"/>
        <w:rPr>
          <w:rFonts w:ascii="宋体" w:hAnsi="宋体" w:cs="Courier New"/>
          <w:sz w:val="24"/>
          <w:szCs w:val="24"/>
        </w:rPr>
      </w:pPr>
      <w:r>
        <w:rPr>
          <w:rFonts w:hint="eastAsia" w:ascii="宋体" w:hAnsi="宋体" w:cs="Courier New"/>
          <w:sz w:val="24"/>
          <w:szCs w:val="24"/>
        </w:rPr>
        <w:t>能力、素质、知识结构表见附表</w:t>
      </w:r>
      <w:r>
        <w:rPr>
          <w:rFonts w:ascii="宋体" w:hAnsi="宋体" w:cs="Courier New"/>
          <w:sz w:val="24"/>
          <w:szCs w:val="24"/>
        </w:rPr>
        <w:t>1</w:t>
      </w:r>
      <w:r>
        <w:rPr>
          <w:rFonts w:hint="eastAsia" w:ascii="宋体" w:hAnsi="宋体" w:cs="Courier New"/>
          <w:sz w:val="24"/>
          <w:szCs w:val="24"/>
        </w:rPr>
        <w:t>。</w:t>
      </w: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p>
    <w:p>
      <w:pPr>
        <w:spacing w:line="400" w:lineRule="exact"/>
        <w:rPr>
          <w:rFonts w:ascii="黑体" w:hAnsi="宋体" w:eastAsia="黑体"/>
          <w:sz w:val="24"/>
          <w:szCs w:val="24"/>
        </w:rPr>
      </w:pPr>
      <w:r>
        <w:rPr>
          <w:rFonts w:hint="eastAsia" w:ascii="黑体" w:hAnsi="宋体" w:eastAsia="黑体" w:cs="黑体"/>
          <w:sz w:val="24"/>
          <w:szCs w:val="24"/>
        </w:rPr>
        <w:t>附表</w:t>
      </w:r>
      <w:r>
        <w:rPr>
          <w:rFonts w:ascii="黑体" w:hAnsi="宋体" w:eastAsia="黑体" w:cs="黑体"/>
          <w:sz w:val="24"/>
          <w:szCs w:val="24"/>
        </w:rPr>
        <w:t>1</w:t>
      </w:r>
      <w:r>
        <w:rPr>
          <w:rFonts w:hint="eastAsia" w:ascii="黑体" w:hAnsi="宋体" w:eastAsia="黑体" w:cs="黑体"/>
          <w:sz w:val="24"/>
          <w:szCs w:val="24"/>
        </w:rPr>
        <w:t>：</w:t>
      </w:r>
    </w:p>
    <w:p>
      <w:pPr>
        <w:spacing w:line="400" w:lineRule="exact"/>
        <w:ind w:firstLine="480" w:firstLineChars="200"/>
        <w:rPr>
          <w:rFonts w:ascii="黑体" w:hAnsi="宋体" w:eastAsia="黑体"/>
          <w:sz w:val="24"/>
          <w:szCs w:val="24"/>
        </w:rPr>
      </w:pPr>
    </w:p>
    <w:p>
      <w:pPr>
        <w:spacing w:line="360" w:lineRule="auto"/>
        <w:ind w:firstLine="480" w:firstLineChars="200"/>
        <w:contextualSpacing/>
        <w:jc w:val="center"/>
        <w:rPr>
          <w:rFonts w:ascii="黑体" w:hAnsi="宋体" w:eastAsia="黑体"/>
          <w:sz w:val="24"/>
          <w:szCs w:val="24"/>
        </w:rPr>
      </w:pPr>
      <w:r>
        <w:rPr>
          <w:rFonts w:hint="eastAsia" w:ascii="黑体" w:hAnsi="宋体" w:eastAsia="黑体" w:cs="黑体"/>
          <w:sz w:val="24"/>
          <w:szCs w:val="24"/>
        </w:rPr>
        <w:t>行政管理专业能力、素质、知识结构表</w:t>
      </w:r>
    </w:p>
    <w:tbl>
      <w:tblPr>
        <w:tblStyle w:val="6"/>
        <w:tblW w:w="8880" w:type="dxa"/>
        <w:jc w:val="center"/>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367"/>
        <w:gridCol w:w="5580"/>
        <w:gridCol w:w="19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trHeight w:val="426" w:hRule="atLeast"/>
          <w:jc w:val="center"/>
        </w:trPr>
        <w:tc>
          <w:tcPr>
            <w:tcW w:w="1367" w:type="dxa"/>
            <w:tcBorders>
              <w:top w:val="single" w:color="auto" w:sz="12" w:space="0"/>
              <w:left w:val="single" w:color="auto" w:sz="12" w:space="0"/>
              <w:bottom w:val="single" w:color="auto" w:sz="8" w:space="0"/>
              <w:right w:val="single" w:color="auto" w:sz="8" w:space="0"/>
            </w:tcBorders>
            <w:vAlign w:val="center"/>
          </w:tcPr>
          <w:p>
            <w:pPr>
              <w:widowControl/>
              <w:spacing w:line="360" w:lineRule="auto"/>
              <w:contextualSpacing/>
              <w:jc w:val="center"/>
              <w:rPr>
                <w:rFonts w:ascii="仿宋_GB2312" w:hAnsi="宋体" w:eastAsia="仿宋_GB2312"/>
                <w:color w:val="000000"/>
              </w:rPr>
            </w:pPr>
            <w:r>
              <w:rPr>
                <w:rFonts w:hint="eastAsia" w:ascii="仿宋_GB2312" w:hAnsi="宋体" w:eastAsia="仿宋_GB2312" w:cs="仿宋_GB2312"/>
                <w:color w:val="000000"/>
              </w:rPr>
              <w:t>能力</w:t>
            </w:r>
            <w:r>
              <w:rPr>
                <w:rFonts w:hint="eastAsia" w:ascii="仿宋_GB2312" w:eastAsia="仿宋_GB2312" w:cs="仿宋_GB2312"/>
                <w:color w:val="000000"/>
              </w:rPr>
              <w:t>素质要求</w:t>
            </w:r>
          </w:p>
        </w:tc>
        <w:tc>
          <w:tcPr>
            <w:tcW w:w="5580" w:type="dxa"/>
            <w:tcBorders>
              <w:top w:val="single" w:color="auto" w:sz="12" w:space="0"/>
              <w:left w:val="single" w:color="auto" w:sz="8" w:space="0"/>
              <w:bottom w:val="single" w:color="auto" w:sz="8" w:space="0"/>
              <w:right w:val="single" w:color="auto" w:sz="8" w:space="0"/>
            </w:tcBorders>
            <w:vAlign w:val="center"/>
          </w:tcPr>
          <w:p>
            <w:pPr>
              <w:widowControl/>
              <w:spacing w:line="360" w:lineRule="auto"/>
              <w:contextualSpacing/>
              <w:jc w:val="center"/>
              <w:rPr>
                <w:rFonts w:ascii="仿宋_GB2312" w:hAnsi="宋体" w:eastAsia="仿宋_GB2312"/>
                <w:color w:val="000000"/>
              </w:rPr>
            </w:pPr>
            <w:r>
              <w:rPr>
                <w:rFonts w:hint="eastAsia" w:ascii="仿宋_GB2312" w:hAnsi="宋体" w:eastAsia="仿宋_GB2312" w:cs="仿宋_GB2312"/>
                <w:color w:val="000000"/>
              </w:rPr>
              <w:t>主要知识单元</w:t>
            </w:r>
          </w:p>
        </w:tc>
        <w:tc>
          <w:tcPr>
            <w:tcW w:w="1933" w:type="dxa"/>
            <w:tcBorders>
              <w:top w:val="single" w:color="auto" w:sz="12" w:space="0"/>
              <w:left w:val="single" w:color="auto" w:sz="8" w:space="0"/>
              <w:bottom w:val="single" w:color="auto" w:sz="8" w:space="0"/>
              <w:right w:val="single" w:color="auto" w:sz="12" w:space="0"/>
            </w:tcBorders>
            <w:vAlign w:val="center"/>
          </w:tcPr>
          <w:p>
            <w:pPr>
              <w:widowControl/>
              <w:spacing w:line="360" w:lineRule="auto"/>
              <w:contextualSpacing/>
              <w:jc w:val="center"/>
              <w:rPr>
                <w:rFonts w:ascii="仿宋_GB2312" w:hAnsi="宋体" w:eastAsia="仿宋_GB2312"/>
                <w:color w:val="000000"/>
              </w:rPr>
            </w:pPr>
            <w:r>
              <w:rPr>
                <w:rFonts w:hint="eastAsia" w:ascii="仿宋_GB2312" w:hAnsi="宋体" w:eastAsia="仿宋_GB2312" w:cs="仿宋_GB2312"/>
                <w:color w:val="000000"/>
              </w:rPr>
              <w:t>支撑课程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5671" w:hRule="atLeast"/>
          <w:jc w:val="center"/>
        </w:trPr>
        <w:tc>
          <w:tcPr>
            <w:tcW w:w="1367" w:type="dxa"/>
            <w:vMerge w:val="restart"/>
            <w:tcBorders>
              <w:top w:val="single" w:color="auto" w:sz="8" w:space="0"/>
              <w:left w:val="single" w:color="auto" w:sz="12" w:space="0"/>
              <w:bottom w:val="single" w:color="auto" w:sz="8" w:space="0"/>
              <w:right w:val="single" w:color="auto" w:sz="8" w:space="0"/>
            </w:tcBorders>
            <w:vAlign w:val="center"/>
          </w:tcPr>
          <w:p>
            <w:pPr>
              <w:pStyle w:val="2"/>
              <w:spacing w:line="360" w:lineRule="auto"/>
              <w:contextualSpacing/>
              <w:jc w:val="center"/>
              <w:rPr>
                <w:rFonts w:cs="Times New Roman"/>
                <w:b/>
                <w:bCs/>
              </w:rPr>
            </w:pPr>
            <w:r>
              <w:rPr>
                <w:rFonts w:hint="eastAsia"/>
                <w:b/>
                <w:bCs/>
              </w:rPr>
              <w:t>基本能力素质</w:t>
            </w:r>
          </w:p>
          <w:p>
            <w:pPr>
              <w:spacing w:line="360" w:lineRule="auto"/>
              <w:contextualSpacing/>
              <w:jc w:val="center"/>
            </w:pPr>
            <w:r>
              <w:rPr>
                <w:rFonts w:hint="eastAsia" w:cs="宋体"/>
              </w:rPr>
              <w:t>（包括思想政治与道德法律、外国语、体育运动、计算机运用、人文素养、科学素养、艺术素养等方面的能力素质）</w:t>
            </w:r>
          </w:p>
        </w:tc>
        <w:tc>
          <w:tcPr>
            <w:tcW w:w="5580" w:type="dxa"/>
            <w:tcBorders>
              <w:top w:val="single" w:color="auto" w:sz="8" w:space="0"/>
              <w:left w:val="single" w:color="auto" w:sz="8" w:space="0"/>
              <w:bottom w:val="single" w:color="auto" w:sz="8" w:space="0"/>
              <w:right w:val="single" w:color="auto" w:sz="8" w:space="0"/>
            </w:tcBorders>
            <w:vAlign w:val="top"/>
          </w:tcPr>
          <w:p>
            <w:pPr>
              <w:widowControl/>
              <w:spacing w:line="360" w:lineRule="auto"/>
              <w:ind w:left="111" w:leftChars="53" w:right="111" w:rightChars="53"/>
              <w:contextualSpacing/>
              <w:rPr>
                <w:rFonts w:ascii="仿宋_GB2312" w:hAnsi="宋体" w:eastAsia="仿宋_GB2312"/>
              </w:rPr>
            </w:pPr>
            <w:r>
              <w:rPr>
                <w:rFonts w:hint="eastAsia" w:ascii="仿宋_GB2312" w:hAnsi="宋体" w:eastAsia="仿宋_GB2312"/>
              </w:rPr>
              <w:t>马克思主义基本概念，马克思主义的唯物论和辩证法，马克思主义认识论，人类社会及其发展规律，资本主义的本质，社会主义的基本特征。</w:t>
            </w:r>
          </w:p>
          <w:p>
            <w:pPr>
              <w:spacing w:line="360" w:lineRule="auto"/>
              <w:ind w:left="111" w:leftChars="53" w:right="111" w:rightChars="53"/>
              <w:contextualSpacing/>
              <w:rPr>
                <w:rFonts w:ascii="仿宋_GB2312" w:hAnsi="宋体" w:eastAsia="仿宋_GB2312"/>
              </w:rPr>
            </w:pPr>
            <w:r>
              <w:rPr>
                <w:rFonts w:hint="eastAsia" w:ascii="仿宋_GB2312" w:hAnsi="宋体" w:eastAsia="仿宋_GB2312"/>
              </w:rPr>
              <w:t>马克思主义中国化理论成果的精髓，毛泽东思想基本概念，社会主义的本质，社会主义初级阶段理论，社会主义改革和对外开放理论，建设中国特色社会主义经济、政治、文化、社会理论，祖国统一和外交政策，建设中国特色社会主义的依靠力量和领导力量。</w:t>
            </w:r>
          </w:p>
          <w:p>
            <w:pPr>
              <w:widowControl/>
              <w:spacing w:line="360" w:lineRule="auto"/>
              <w:ind w:left="111" w:leftChars="53" w:right="111" w:rightChars="53"/>
              <w:contextualSpacing/>
              <w:rPr>
                <w:rFonts w:ascii="仿宋_GB2312" w:hAnsi="宋体" w:eastAsia="仿宋_GB2312"/>
              </w:rPr>
            </w:pPr>
            <w:r>
              <w:rPr>
                <w:rFonts w:hint="eastAsia" w:ascii="仿宋_GB2312" w:hAnsi="宋体" w:eastAsia="仿宋_GB2312"/>
              </w:rPr>
              <w:t>社会主义核心价值体系，共产主义远大理想和马克思主义信念，中华民族爱国传统和民族精神，正确的人生观、价值观，社会主义道德规范和道德建设，社会主义法律内涵和精神，我国宪法的基本制度，实体法律制度和程序法律制度。</w:t>
            </w:r>
          </w:p>
          <w:p>
            <w:pPr>
              <w:widowControl/>
              <w:spacing w:line="360" w:lineRule="auto"/>
              <w:ind w:left="111" w:leftChars="53" w:right="111" w:rightChars="53"/>
              <w:contextualSpacing/>
              <w:rPr>
                <w:rFonts w:ascii="仿宋_GB2312" w:hAnsi="宋体" w:eastAsia="仿宋_GB2312"/>
              </w:rPr>
            </w:pPr>
            <w:r>
              <w:rPr>
                <w:rFonts w:hint="eastAsia" w:ascii="仿宋_GB2312" w:hAnsi="宋体" w:eastAsia="仿宋_GB2312"/>
              </w:rPr>
              <w:t>近代中国的主要矛盾和历史任务，近代帝国主义对中国的侵略与反侵略，对国家出路的早期探索（太平天国农民战争，洋务运动，维新运动，辛亥革命），马克思主义在中国的传播与中国共产党的诞生，抗日战争，中华人民共和国的成立及其历史成就，社会主义基本制度在中国的确立，社会主义建设的探索，改革开放与现代化建设。</w:t>
            </w:r>
          </w:p>
          <w:p>
            <w:pPr>
              <w:spacing w:line="360" w:lineRule="auto"/>
              <w:ind w:left="111" w:leftChars="53" w:right="111" w:rightChars="53"/>
              <w:contextualSpacing/>
              <w:rPr>
                <w:rFonts w:ascii="仿宋_GB2312" w:hAnsi="宋体" w:eastAsia="仿宋_GB2312"/>
              </w:rPr>
            </w:pPr>
            <w:r>
              <w:rPr>
                <w:rFonts w:hint="eastAsia" w:ascii="仿宋_GB2312" w:hAnsi="宋体" w:eastAsia="仿宋_GB2312"/>
              </w:rPr>
              <w:t>国际、国内形势，社会热点，党和国家方针政策</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top"/>
          </w:tcPr>
          <w:p>
            <w:pPr>
              <w:spacing w:line="360" w:lineRule="auto"/>
              <w:contextualSpacing/>
              <w:rPr>
                <w:rFonts w:ascii="仿宋_GB2312" w:hAnsi="宋体" w:eastAsia="仿宋_GB2312"/>
              </w:rPr>
            </w:pPr>
            <w:r>
              <w:rPr>
                <w:rFonts w:hint="eastAsia" w:ascii="仿宋_GB2312" w:hAnsi="宋体" w:eastAsia="仿宋_GB2312"/>
              </w:rPr>
              <w:t>马克思主义基本原理</w:t>
            </w:r>
          </w:p>
          <w:p>
            <w:pPr>
              <w:spacing w:line="360" w:lineRule="auto"/>
              <w:contextualSpacing/>
              <w:rPr>
                <w:rFonts w:ascii="仿宋_GB2312" w:hAnsi="宋体" w:eastAsia="仿宋_GB2312"/>
              </w:rPr>
            </w:pPr>
            <w:r>
              <w:rPr>
                <w:rFonts w:hint="eastAsia" w:ascii="仿宋_GB2312" w:hAnsi="宋体" w:eastAsia="仿宋_GB2312"/>
              </w:rPr>
              <w:t>毛泽东思想和中国特色社会主义理论体系概论</w:t>
            </w:r>
          </w:p>
          <w:p>
            <w:pPr>
              <w:spacing w:line="360" w:lineRule="auto"/>
              <w:contextualSpacing/>
              <w:rPr>
                <w:rFonts w:ascii="仿宋_GB2312" w:hAnsi="宋体" w:eastAsia="仿宋_GB2312"/>
              </w:rPr>
            </w:pPr>
            <w:r>
              <w:rPr>
                <w:rFonts w:hint="eastAsia" w:ascii="仿宋_GB2312" w:hAnsi="宋体" w:eastAsia="仿宋_GB2312"/>
              </w:rPr>
              <w:t>思想道德修养与法律基础</w:t>
            </w:r>
          </w:p>
          <w:p>
            <w:pPr>
              <w:spacing w:line="360" w:lineRule="auto"/>
              <w:contextualSpacing/>
              <w:rPr>
                <w:rFonts w:ascii="仿宋_GB2312" w:hAnsi="宋体" w:eastAsia="仿宋_GB2312"/>
              </w:rPr>
            </w:pPr>
            <w:r>
              <w:rPr>
                <w:rFonts w:hint="eastAsia" w:ascii="仿宋_GB2312" w:hAnsi="宋体" w:eastAsia="仿宋_GB2312"/>
              </w:rPr>
              <w:t>中国近现代史纲要</w:t>
            </w:r>
          </w:p>
          <w:p>
            <w:pPr>
              <w:spacing w:line="360" w:lineRule="auto"/>
              <w:contextualSpacing/>
              <w:rPr>
                <w:rFonts w:ascii="仿宋_GB2312" w:hAnsi="宋体" w:eastAsia="仿宋_GB2312"/>
              </w:rPr>
            </w:pPr>
            <w:r>
              <w:rPr>
                <w:rFonts w:hint="eastAsia" w:ascii="仿宋_GB2312" w:hAnsi="宋体" w:eastAsia="仿宋_GB2312"/>
              </w:rPr>
              <w:t>形势与政策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890" w:hRule="atLeast"/>
          <w:jc w:val="center"/>
        </w:trPr>
        <w:tc>
          <w:tcPr>
            <w:tcW w:w="1367" w:type="dxa"/>
            <w:vMerge w:val="continue"/>
            <w:tcBorders>
              <w:top w:val="single" w:color="auto" w:sz="8" w:space="0"/>
              <w:left w:val="single" w:color="auto" w:sz="12" w:space="0"/>
              <w:bottom w:val="single" w:color="auto" w:sz="8" w:space="0"/>
              <w:right w:val="single" w:color="auto" w:sz="8" w:space="0"/>
            </w:tcBorders>
            <w:vAlign w:val="top"/>
          </w:tcPr>
          <w:p>
            <w:pPr>
              <w:widowControl/>
              <w:tabs>
                <w:tab w:val="left" w:pos="-234"/>
                <w:tab w:val="left" w:pos="0"/>
              </w:tabs>
              <w:spacing w:line="360" w:lineRule="auto"/>
              <w:contextualSpacing/>
              <w:jc w:val="left"/>
              <w:rPr>
                <w:rFonts w:ascii="仿宋_GB2312" w:hAnsi="宋体" w:eastAsia="仿宋_GB2312"/>
                <w:color w:val="000000"/>
              </w:rPr>
            </w:pPr>
          </w:p>
        </w:tc>
        <w:tc>
          <w:tcPr>
            <w:tcW w:w="5580" w:type="dxa"/>
            <w:tcBorders>
              <w:top w:val="single" w:color="auto" w:sz="8" w:space="0"/>
              <w:left w:val="single" w:color="auto" w:sz="8" w:space="0"/>
              <w:bottom w:val="single" w:color="auto" w:sz="8" w:space="0"/>
              <w:right w:val="single" w:color="auto" w:sz="8" w:space="0"/>
            </w:tcBorders>
            <w:vAlign w:val="top"/>
          </w:tcPr>
          <w:p>
            <w:pPr>
              <w:spacing w:line="360" w:lineRule="auto"/>
              <w:ind w:left="111" w:leftChars="53" w:right="111" w:rightChars="53"/>
              <w:contextualSpacing/>
              <w:rPr>
                <w:rFonts w:ascii="仿宋_GB2312" w:hAnsi="宋体" w:eastAsia="仿宋_GB2312"/>
              </w:rPr>
            </w:pPr>
            <w:r>
              <w:rPr>
                <w:rFonts w:hint="eastAsia" w:ascii="仿宋_GB2312" w:hAnsi="宋体" w:eastAsia="仿宋_GB2312"/>
              </w:rPr>
              <w:t>人文知识，人文思想与精神。</w:t>
            </w:r>
          </w:p>
          <w:p>
            <w:pPr>
              <w:spacing w:line="360" w:lineRule="auto"/>
              <w:ind w:left="111" w:leftChars="53" w:right="111" w:rightChars="53"/>
              <w:contextualSpacing/>
              <w:rPr>
                <w:rFonts w:ascii="仿宋_GB2312" w:hAnsi="宋体" w:eastAsia="仿宋_GB2312"/>
              </w:rPr>
            </w:pPr>
            <w:r>
              <w:rPr>
                <w:rFonts w:hint="eastAsia" w:ascii="仿宋_GB2312" w:hAnsi="宋体" w:eastAsia="仿宋_GB2312"/>
              </w:rPr>
              <w:t>科学知识，科学思想与精神。</w:t>
            </w:r>
          </w:p>
          <w:p>
            <w:pPr>
              <w:widowControl/>
              <w:tabs>
                <w:tab w:val="left" w:pos="-234"/>
                <w:tab w:val="left" w:pos="0"/>
              </w:tabs>
              <w:spacing w:line="360" w:lineRule="auto"/>
              <w:ind w:left="111" w:leftChars="53" w:right="111" w:rightChars="53"/>
              <w:contextualSpacing/>
              <w:jc w:val="left"/>
              <w:rPr>
                <w:rFonts w:ascii="仿宋_GB2312" w:hAnsi="宋体" w:eastAsia="仿宋_GB2312"/>
              </w:rPr>
            </w:pPr>
            <w:r>
              <w:rPr>
                <w:rFonts w:hint="eastAsia" w:ascii="仿宋_GB2312" w:hAnsi="宋体" w:eastAsia="仿宋_GB2312"/>
              </w:rPr>
              <w:t>艺术作品欣赏，艺术审美与艺术品位等</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top"/>
          </w:tcPr>
          <w:p>
            <w:pPr>
              <w:spacing w:line="360" w:lineRule="auto"/>
              <w:contextualSpacing/>
              <w:rPr>
                <w:rFonts w:ascii="仿宋_GB2312" w:hAnsi="宋体" w:eastAsia="仿宋_GB2312"/>
              </w:rPr>
            </w:pPr>
            <w:r>
              <w:rPr>
                <w:rFonts w:hint="eastAsia" w:ascii="仿宋_GB2312" w:hAnsi="宋体" w:eastAsia="仿宋_GB2312"/>
              </w:rPr>
              <w:t>人文素养类课程</w:t>
            </w:r>
          </w:p>
          <w:p>
            <w:pPr>
              <w:spacing w:line="360" w:lineRule="auto"/>
              <w:contextualSpacing/>
              <w:rPr>
                <w:rFonts w:ascii="仿宋_GB2312" w:hAnsi="宋体" w:eastAsia="仿宋_GB2312"/>
              </w:rPr>
            </w:pPr>
            <w:r>
              <w:rPr>
                <w:rFonts w:hint="eastAsia" w:ascii="仿宋_GB2312" w:hAnsi="宋体" w:eastAsia="仿宋_GB2312"/>
              </w:rPr>
              <w:t>科学素养类课程</w:t>
            </w:r>
          </w:p>
          <w:p>
            <w:pPr>
              <w:widowControl/>
              <w:tabs>
                <w:tab w:val="left" w:pos="-234"/>
                <w:tab w:val="left" w:pos="0"/>
              </w:tabs>
              <w:spacing w:line="360" w:lineRule="auto"/>
              <w:contextualSpacing/>
              <w:jc w:val="left"/>
              <w:rPr>
                <w:rFonts w:ascii="仿宋_GB2312" w:hAnsi="宋体" w:eastAsia="仿宋_GB2312"/>
              </w:rPr>
            </w:pPr>
            <w:r>
              <w:rPr>
                <w:rFonts w:hint="eastAsia" w:ascii="仿宋_GB2312" w:hAnsi="宋体" w:eastAsia="仿宋_GB2312"/>
              </w:rPr>
              <w:t>艺术素养类课程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1071" w:hRule="atLeast"/>
          <w:jc w:val="center"/>
        </w:trPr>
        <w:tc>
          <w:tcPr>
            <w:tcW w:w="1367" w:type="dxa"/>
            <w:vMerge w:val="continue"/>
            <w:tcBorders>
              <w:top w:val="single" w:color="auto" w:sz="8" w:space="0"/>
              <w:left w:val="single" w:color="auto" w:sz="12" w:space="0"/>
              <w:bottom w:val="single" w:color="auto" w:sz="8" w:space="0"/>
              <w:right w:val="single" w:color="auto" w:sz="8" w:space="0"/>
            </w:tcBorders>
            <w:vAlign w:val="top"/>
          </w:tcPr>
          <w:p>
            <w:pPr>
              <w:widowControl/>
              <w:tabs>
                <w:tab w:val="left" w:pos="-234"/>
              </w:tabs>
              <w:spacing w:line="360" w:lineRule="auto"/>
              <w:contextualSpacing/>
              <w:jc w:val="left"/>
              <w:rPr>
                <w:rFonts w:ascii="仿宋_GB2312" w:hAnsi="宋体" w:eastAsia="仿宋_GB2312"/>
                <w:color w:val="000000"/>
              </w:rPr>
            </w:pPr>
          </w:p>
        </w:tc>
        <w:tc>
          <w:tcPr>
            <w:tcW w:w="5580" w:type="dxa"/>
            <w:tcBorders>
              <w:top w:val="single" w:color="auto" w:sz="8" w:space="0"/>
              <w:left w:val="single" w:color="auto" w:sz="8" w:space="0"/>
              <w:bottom w:val="single" w:color="auto" w:sz="8" w:space="0"/>
              <w:right w:val="single" w:color="auto" w:sz="8" w:space="0"/>
            </w:tcBorders>
            <w:vAlign w:val="top"/>
          </w:tcPr>
          <w:p>
            <w:pPr>
              <w:spacing w:line="360" w:lineRule="auto"/>
              <w:ind w:left="111" w:leftChars="53" w:right="111" w:rightChars="53"/>
              <w:contextualSpacing/>
              <w:rPr>
                <w:rFonts w:ascii="仿宋_GB2312" w:hAnsi="宋体" w:eastAsia="仿宋_GB2312"/>
              </w:rPr>
            </w:pPr>
            <w:r>
              <w:rPr>
                <w:rFonts w:hint="eastAsia" w:ascii="仿宋_GB2312" w:hAnsi="宋体" w:eastAsia="仿宋_GB2312"/>
              </w:rPr>
              <w:t>体育常识、相关运动项目的动作要领、日常锻炼的方法与注意事项等。</w:t>
            </w:r>
          </w:p>
          <w:p>
            <w:pPr>
              <w:spacing w:line="360" w:lineRule="auto"/>
              <w:ind w:left="111" w:leftChars="53" w:right="111" w:rightChars="53"/>
              <w:contextualSpacing/>
              <w:rPr>
                <w:rFonts w:ascii="仿宋_GB2312" w:hAnsi="宋体" w:eastAsia="仿宋_GB2312"/>
              </w:rPr>
            </w:pPr>
            <w:r>
              <w:rPr>
                <w:rFonts w:hint="eastAsia" w:ascii="仿宋_GB2312" w:hAnsi="宋体" w:eastAsia="仿宋_GB2312"/>
              </w:rPr>
              <w:t>国防教育，军事训练。</w:t>
            </w:r>
          </w:p>
          <w:p>
            <w:pPr>
              <w:spacing w:line="360" w:lineRule="auto"/>
              <w:ind w:left="111" w:leftChars="53" w:right="111" w:rightChars="53"/>
              <w:contextualSpacing/>
              <w:rPr>
                <w:rFonts w:ascii="仿宋_GB2312" w:hAnsi="宋体" w:eastAsia="仿宋_GB2312"/>
              </w:rPr>
            </w:pPr>
            <w:r>
              <w:rPr>
                <w:rFonts w:hint="eastAsia" w:ascii="仿宋_GB2312" w:hAnsi="宋体" w:eastAsia="仿宋_GB2312"/>
              </w:rPr>
              <w:t>劳动实践、社会调查、志愿服务、“三下乡”、创新创业等社会实践活动。</w:t>
            </w:r>
          </w:p>
          <w:p>
            <w:pPr>
              <w:widowControl/>
              <w:tabs>
                <w:tab w:val="left" w:pos="-234"/>
                <w:tab w:val="left" w:pos="0"/>
              </w:tabs>
              <w:spacing w:line="360" w:lineRule="auto"/>
              <w:ind w:left="111" w:leftChars="53" w:right="111" w:rightChars="53"/>
              <w:contextualSpacing/>
              <w:jc w:val="left"/>
              <w:rPr>
                <w:rFonts w:ascii="仿宋_GB2312" w:hAnsi="宋体" w:eastAsia="仿宋_GB2312"/>
              </w:rPr>
            </w:pPr>
            <w:r>
              <w:rPr>
                <w:rFonts w:hint="eastAsia" w:ascii="仿宋_GB2312" w:hAnsi="宋体" w:eastAsia="仿宋_GB2312"/>
              </w:rPr>
              <w:t>心理知识，心理活动体验，心理调适技能</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top"/>
          </w:tcPr>
          <w:p>
            <w:pPr>
              <w:pStyle w:val="2"/>
              <w:spacing w:line="360" w:lineRule="auto"/>
              <w:contextualSpacing/>
              <w:rPr>
                <w:rFonts w:ascii="仿宋_GB2312" w:hAnsi="宋体" w:eastAsia="仿宋_GB2312" w:cs="Times New Roman"/>
              </w:rPr>
            </w:pPr>
            <w:r>
              <w:rPr>
                <w:rFonts w:hint="eastAsia" w:ascii="仿宋_GB2312" w:hAnsi="宋体" w:eastAsia="仿宋_GB2312" w:cs="Times New Roman"/>
              </w:rPr>
              <w:t>体育</w:t>
            </w:r>
          </w:p>
          <w:p>
            <w:pPr>
              <w:pStyle w:val="2"/>
              <w:spacing w:line="360" w:lineRule="auto"/>
              <w:contextualSpacing/>
              <w:rPr>
                <w:rFonts w:ascii="仿宋_GB2312" w:hAnsi="宋体" w:eastAsia="仿宋_GB2312" w:cs="Times New Roman"/>
              </w:rPr>
            </w:pPr>
            <w:r>
              <w:rPr>
                <w:rFonts w:hint="eastAsia" w:ascii="仿宋_GB2312" w:hAnsi="宋体" w:eastAsia="仿宋_GB2312" w:cs="Times New Roman"/>
              </w:rPr>
              <w:t>军事训练</w:t>
            </w:r>
          </w:p>
          <w:p>
            <w:pPr>
              <w:pStyle w:val="2"/>
              <w:spacing w:line="360" w:lineRule="auto"/>
              <w:contextualSpacing/>
              <w:rPr>
                <w:rFonts w:ascii="仿宋_GB2312" w:hAnsi="宋体" w:eastAsia="仿宋_GB2312" w:cs="Times New Roman"/>
              </w:rPr>
            </w:pPr>
            <w:r>
              <w:rPr>
                <w:rFonts w:hint="eastAsia" w:ascii="仿宋_GB2312" w:hAnsi="宋体" w:eastAsia="仿宋_GB2312" w:cs="Times New Roman"/>
              </w:rPr>
              <w:t>社会实践</w:t>
            </w:r>
          </w:p>
          <w:p>
            <w:pPr>
              <w:widowControl/>
              <w:tabs>
                <w:tab w:val="left" w:pos="-234"/>
                <w:tab w:val="left" w:pos="0"/>
              </w:tabs>
              <w:spacing w:line="360" w:lineRule="auto"/>
              <w:contextualSpacing/>
              <w:jc w:val="left"/>
              <w:rPr>
                <w:rFonts w:ascii="仿宋_GB2312" w:hAnsi="宋体" w:eastAsia="仿宋_GB2312"/>
              </w:rPr>
            </w:pPr>
            <w:r>
              <w:rPr>
                <w:rFonts w:hint="eastAsia" w:ascii="仿宋_GB2312" w:hAnsi="宋体" w:eastAsia="仿宋_GB2312"/>
              </w:rPr>
              <w:t>大学生心理健康教育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915" w:hRule="atLeast"/>
          <w:jc w:val="center"/>
        </w:trPr>
        <w:tc>
          <w:tcPr>
            <w:tcW w:w="1367" w:type="dxa"/>
            <w:vMerge w:val="continue"/>
            <w:tcBorders>
              <w:top w:val="single" w:color="auto" w:sz="8" w:space="0"/>
              <w:left w:val="single" w:color="auto" w:sz="12" w:space="0"/>
              <w:bottom w:val="single" w:color="auto" w:sz="8" w:space="0"/>
              <w:right w:val="single" w:color="auto" w:sz="8" w:space="0"/>
            </w:tcBorders>
            <w:vAlign w:val="top"/>
          </w:tcPr>
          <w:p>
            <w:pPr>
              <w:widowControl/>
              <w:tabs>
                <w:tab w:val="left" w:pos="-234"/>
              </w:tabs>
              <w:spacing w:line="360" w:lineRule="auto"/>
              <w:contextualSpacing/>
              <w:jc w:val="left"/>
              <w:rPr>
                <w:rFonts w:ascii="仿宋_GB2312" w:hAnsi="宋体" w:eastAsia="仿宋_GB2312"/>
                <w:color w:val="000000"/>
              </w:rPr>
            </w:pPr>
          </w:p>
        </w:tc>
        <w:tc>
          <w:tcPr>
            <w:tcW w:w="5580" w:type="dxa"/>
            <w:tcBorders>
              <w:top w:val="single" w:color="auto" w:sz="8" w:space="0"/>
              <w:left w:val="single" w:color="auto" w:sz="8" w:space="0"/>
              <w:bottom w:val="single" w:color="auto" w:sz="8" w:space="0"/>
              <w:right w:val="single" w:color="auto" w:sz="8" w:space="0"/>
            </w:tcBorders>
            <w:vAlign w:val="center"/>
          </w:tcPr>
          <w:p>
            <w:pPr>
              <w:widowControl/>
              <w:tabs>
                <w:tab w:val="left" w:pos="-234"/>
                <w:tab w:val="left" w:pos="0"/>
              </w:tabs>
              <w:spacing w:line="360" w:lineRule="auto"/>
              <w:ind w:left="111" w:leftChars="53" w:right="111" w:rightChars="53"/>
              <w:contextualSpacing/>
              <w:jc w:val="left"/>
              <w:rPr>
                <w:rFonts w:ascii="仿宋_GB2312" w:hAnsi="宋体" w:eastAsia="仿宋_GB2312"/>
              </w:rPr>
            </w:pPr>
            <w:r>
              <w:rPr>
                <w:rFonts w:ascii="仿宋_GB2312" w:hAnsi="宋体" w:eastAsia="仿宋_GB2312"/>
              </w:rPr>
              <w:t>IT</w:t>
            </w:r>
            <w:r>
              <w:rPr>
                <w:rFonts w:hint="eastAsia" w:ascii="仿宋_GB2312" w:hAnsi="宋体" w:eastAsia="仿宋_GB2312"/>
              </w:rPr>
              <w:t>概论，计算机体系结构，计算机软件，网络与通信，多媒体，计算机程序设计与语言，数据管理，网络信息安全，信息经济与应用等</w:t>
            </w:r>
            <w:r>
              <w:rPr>
                <w:rFonts w:ascii="仿宋_GB2312" w:hAnsi="宋体" w:eastAsia="仿宋_GB2312"/>
              </w:rPr>
              <w:t xml:space="preserve">  </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spacing w:line="360" w:lineRule="auto"/>
              <w:contextualSpacing/>
              <w:rPr>
                <w:rFonts w:ascii="仿宋_GB2312" w:hAnsi="宋体" w:eastAsia="仿宋_GB2312"/>
              </w:rPr>
            </w:pPr>
            <w:r>
              <w:rPr>
                <w:rFonts w:hint="eastAsia" w:ascii="仿宋_GB2312" w:hAnsi="宋体" w:eastAsia="仿宋_GB2312"/>
              </w:rPr>
              <w:t>大学</w:t>
            </w:r>
            <w:r>
              <w:rPr>
                <w:rFonts w:ascii="仿宋_GB2312" w:hAnsi="宋体" w:eastAsia="仿宋_GB2312"/>
              </w:rPr>
              <w:t>IT</w:t>
            </w:r>
          </w:p>
          <w:p>
            <w:pPr>
              <w:pStyle w:val="2"/>
              <w:spacing w:line="360" w:lineRule="auto"/>
              <w:contextualSpacing/>
              <w:rPr>
                <w:rFonts w:ascii="仿宋_GB2312" w:hAnsi="宋体" w:eastAsia="仿宋_GB2312" w:cs="Times New Roman"/>
              </w:rPr>
            </w:pPr>
            <w:r>
              <w:rPr>
                <w:rFonts w:ascii="仿宋_GB2312" w:hAnsi="宋体" w:eastAsia="仿宋_GB2312" w:cs="Times New Roman"/>
              </w:rPr>
              <w:t>C</w:t>
            </w:r>
            <w:r>
              <w:rPr>
                <w:rFonts w:hint="eastAsia" w:ascii="仿宋_GB2312" w:hAnsi="宋体" w:eastAsia="仿宋_GB2312" w:cs="Times New Roman"/>
              </w:rPr>
              <w:t>语言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1373" w:hRule="atLeast"/>
          <w:jc w:val="center"/>
        </w:trPr>
        <w:tc>
          <w:tcPr>
            <w:tcW w:w="1367" w:type="dxa"/>
            <w:vMerge w:val="restart"/>
            <w:tcBorders>
              <w:top w:val="single" w:color="auto" w:sz="8" w:space="0"/>
              <w:left w:val="single" w:color="auto" w:sz="12" w:space="0"/>
              <w:bottom w:val="single" w:color="auto" w:sz="8" w:space="0"/>
              <w:right w:val="single" w:color="auto" w:sz="8" w:space="0"/>
            </w:tcBorders>
            <w:vAlign w:val="center"/>
          </w:tcPr>
          <w:p>
            <w:pPr>
              <w:pStyle w:val="2"/>
              <w:spacing w:line="360" w:lineRule="auto"/>
              <w:contextualSpacing/>
              <w:rPr>
                <w:rFonts w:ascii="Times New Roman" w:cs="Times New Roman"/>
                <w:b/>
                <w:bCs/>
              </w:rPr>
            </w:pPr>
            <w:r>
              <w:rPr>
                <w:rFonts w:hint="eastAsia" w:ascii="Times New Roman"/>
                <w:b/>
                <w:bCs/>
              </w:rPr>
              <w:t>专业能力素质</w:t>
            </w:r>
          </w:p>
          <w:p>
            <w:pPr>
              <w:widowControl/>
              <w:tabs>
                <w:tab w:val="left" w:pos="-234"/>
              </w:tabs>
              <w:spacing w:line="360" w:lineRule="auto"/>
              <w:contextualSpacing/>
              <w:rPr>
                <w:rFonts w:ascii="宋体"/>
                <w:color w:val="000000"/>
              </w:rPr>
            </w:pPr>
            <w:r>
              <w:rPr>
                <w:rFonts w:hint="eastAsia" w:ascii="宋体" w:hAnsi="宋体" w:cs="宋体"/>
                <w:color w:val="000000"/>
              </w:rPr>
              <w:t>（包括学科基础、专业基础、专业拓展等方面的能力素质）</w:t>
            </w:r>
          </w:p>
        </w:tc>
        <w:tc>
          <w:tcPr>
            <w:tcW w:w="5580" w:type="dxa"/>
            <w:tcBorders>
              <w:top w:val="single" w:color="auto" w:sz="8" w:space="0"/>
              <w:left w:val="single" w:color="auto" w:sz="8" w:space="0"/>
              <w:bottom w:val="single" w:color="auto" w:sz="8" w:space="0"/>
              <w:right w:val="single" w:color="auto" w:sz="8" w:space="0"/>
            </w:tcBorders>
            <w:vAlign w:val="center"/>
          </w:tcPr>
          <w:p>
            <w:pPr>
              <w:widowControl/>
              <w:tabs>
                <w:tab w:val="left" w:pos="-234"/>
                <w:tab w:val="left" w:pos="0"/>
              </w:tabs>
              <w:spacing w:line="360" w:lineRule="auto"/>
              <w:ind w:left="111" w:leftChars="53" w:right="111" w:rightChars="53"/>
              <w:contextualSpacing/>
              <w:rPr>
                <w:rFonts w:ascii="仿宋_GB2312" w:hAnsi="宋体" w:eastAsia="仿宋_GB2312"/>
              </w:rPr>
            </w:pPr>
            <w:r>
              <w:rPr>
                <w:rFonts w:hint="eastAsia" w:ascii="仿宋_GB2312" w:hAnsi="宋体" w:eastAsia="仿宋_GB2312"/>
              </w:rPr>
              <w:t>管理活动与管理理论、道德与社会责任、决策与信息、计划工作、组织工作、人员与领导、控制工作、社会结构论、社会行为论、社会控制论和社会发展论、国家、国家形式、国家机构、政治发展、宏观经济和微观经济的管理方法、行政的基本理论与制度设计、行政的运作过程、行政的行为选择、知觉、气质、性格、能力、群体行为、群体沟通、群体决策、群体冲突、组织行为、公共关系的涵义、基本要素、公共关系原则、公共关系组织机构、公共关系策划、公共关系广告、公共关系演讲、公共关系谈判、公共关系社交礼仪、</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widowControl/>
              <w:tabs>
                <w:tab w:val="left" w:pos="-234"/>
                <w:tab w:val="left" w:pos="0"/>
              </w:tabs>
              <w:spacing w:line="360" w:lineRule="auto"/>
              <w:contextualSpacing/>
              <w:rPr>
                <w:rFonts w:ascii="仿宋_GB2312" w:hAnsi="宋体" w:eastAsia="仿宋_GB2312"/>
              </w:rPr>
            </w:pPr>
            <w:r>
              <w:rPr>
                <w:rFonts w:hint="eastAsia" w:ascii="仿宋_GB2312" w:hAnsi="宋体" w:eastAsia="仿宋_GB2312"/>
              </w:rPr>
              <w:t>管理学、社会学、政治学、行政管理学、组织行为学、公共关系学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2285" w:hRule="atLeast"/>
          <w:jc w:val="center"/>
        </w:trPr>
        <w:tc>
          <w:tcPr>
            <w:tcW w:w="1367" w:type="dxa"/>
            <w:vMerge w:val="continue"/>
            <w:tcBorders>
              <w:top w:val="single" w:color="auto" w:sz="8" w:space="0"/>
              <w:left w:val="single" w:color="auto" w:sz="12" w:space="0"/>
              <w:bottom w:val="single" w:color="auto" w:sz="8" w:space="0"/>
              <w:right w:val="single" w:color="auto" w:sz="8" w:space="0"/>
            </w:tcBorders>
            <w:textDirection w:val="tbRlV"/>
            <w:vAlign w:val="center"/>
          </w:tcPr>
          <w:p>
            <w:pPr>
              <w:widowControl/>
              <w:tabs>
                <w:tab w:val="left" w:pos="-234"/>
              </w:tabs>
              <w:spacing w:line="360" w:lineRule="auto"/>
              <w:contextualSpacing/>
              <w:jc w:val="left"/>
              <w:rPr>
                <w:rFonts w:ascii="仿宋_GB2312" w:hAnsi="宋体" w:eastAsia="仿宋_GB2312"/>
                <w:color w:val="000000"/>
              </w:rPr>
            </w:pPr>
          </w:p>
        </w:tc>
        <w:tc>
          <w:tcPr>
            <w:tcW w:w="5580" w:type="dxa"/>
            <w:tcBorders>
              <w:top w:val="single" w:color="auto" w:sz="8" w:space="0"/>
              <w:left w:val="single" w:color="auto" w:sz="8" w:space="0"/>
              <w:bottom w:val="single" w:color="auto" w:sz="8" w:space="0"/>
              <w:right w:val="single" w:color="auto" w:sz="8" w:space="0"/>
            </w:tcBorders>
            <w:vAlign w:val="center"/>
          </w:tcPr>
          <w:p>
            <w:pPr>
              <w:widowControl/>
              <w:tabs>
                <w:tab w:val="left" w:pos="-234"/>
              </w:tabs>
              <w:spacing w:line="360" w:lineRule="auto"/>
              <w:ind w:left="111" w:leftChars="53" w:right="111" w:rightChars="53"/>
              <w:contextualSpacing/>
              <w:rPr>
                <w:rFonts w:ascii="仿宋_GB2312" w:hAnsi="宋体" w:eastAsia="仿宋_GB2312"/>
              </w:rPr>
            </w:pPr>
            <w:r>
              <w:rPr>
                <w:rFonts w:hint="eastAsia" w:ascii="仿宋_GB2312" w:hAnsi="宋体" w:eastAsia="仿宋_GB2312"/>
              </w:rPr>
              <w:t>人力资源管理理论及实践、人力资源计划、获取、开发与培训、员工业绩评估、员工报酬及激励、员工关系、人力资源保护、社会保障的内涵与外延、老年社会保障、劳动社会保障、医疗社会保障、社会救助、社会福利、军人社会保障、领导者素质、领导艺术、领导体制、社区与社区系统、社区管理的体制与模式、社区公共服务及管理、社区公共事业管理、社区公共卫生与社区矫正、社区物业管理、社区参与、社区发展、管理文秘机构、管理文秘的素质与能力、办公礼仪、沟通与协调、办公室事务管理、办公资产管理、</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widowControl/>
              <w:tabs>
                <w:tab w:val="left" w:pos="-234"/>
              </w:tabs>
              <w:spacing w:line="360" w:lineRule="auto"/>
              <w:contextualSpacing/>
              <w:rPr>
                <w:rFonts w:ascii="仿宋_GB2312" w:hAnsi="宋体" w:eastAsia="仿宋_GB2312"/>
              </w:rPr>
            </w:pPr>
            <w:r>
              <w:rPr>
                <w:rFonts w:hint="eastAsia" w:ascii="仿宋_GB2312" w:hAnsi="宋体" w:eastAsia="仿宋_GB2312"/>
              </w:rPr>
              <w:t>人力资源管理、社会保障概论、领导科学、社区管理学、管理文秘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2975" w:hRule="atLeast"/>
          <w:jc w:val="center"/>
        </w:trPr>
        <w:tc>
          <w:tcPr>
            <w:tcW w:w="1367" w:type="dxa"/>
            <w:vMerge w:val="continue"/>
            <w:tcBorders>
              <w:top w:val="single" w:color="auto" w:sz="8" w:space="0"/>
              <w:left w:val="single" w:color="auto" w:sz="12" w:space="0"/>
              <w:bottom w:val="single" w:color="auto" w:sz="8" w:space="0"/>
              <w:right w:val="single" w:color="auto" w:sz="8" w:space="0"/>
            </w:tcBorders>
            <w:textDirection w:val="tbRlV"/>
            <w:vAlign w:val="center"/>
          </w:tcPr>
          <w:p>
            <w:pPr>
              <w:widowControl/>
              <w:tabs>
                <w:tab w:val="left" w:pos="-234"/>
              </w:tabs>
              <w:spacing w:line="360" w:lineRule="auto"/>
              <w:contextualSpacing/>
              <w:jc w:val="left"/>
              <w:rPr>
                <w:rFonts w:ascii="仿宋_GB2312" w:hAnsi="宋体" w:eastAsia="仿宋_GB2312"/>
                <w:color w:val="000000"/>
              </w:rPr>
            </w:pPr>
          </w:p>
        </w:tc>
        <w:tc>
          <w:tcPr>
            <w:tcW w:w="5580" w:type="dxa"/>
            <w:tcBorders>
              <w:top w:val="single" w:color="auto" w:sz="8" w:space="0"/>
              <w:left w:val="single" w:color="auto" w:sz="8" w:space="0"/>
              <w:bottom w:val="single" w:color="auto" w:sz="8" w:space="0"/>
              <w:right w:val="single" w:color="auto" w:sz="8" w:space="0"/>
            </w:tcBorders>
            <w:vAlign w:val="center"/>
          </w:tcPr>
          <w:p>
            <w:pPr>
              <w:widowControl/>
              <w:spacing w:line="360" w:lineRule="auto"/>
              <w:ind w:left="111" w:leftChars="53" w:right="111" w:rightChars="53"/>
              <w:contextualSpacing/>
              <w:rPr>
                <w:rFonts w:ascii="仿宋_GB2312" w:hAnsi="宋体" w:eastAsia="仿宋_GB2312"/>
              </w:rPr>
            </w:pPr>
            <w:r>
              <w:rPr>
                <w:rFonts w:hint="eastAsia" w:ascii="仿宋_GB2312" w:hAnsi="宋体" w:eastAsia="仿宋_GB2312"/>
              </w:rPr>
              <w:t>公共政策的定义、特性、类别及功能、公共政策与政府、环境、公共利益的关系、一般的政策过程、政策分析的基本方法、城市与城市化、城市基础设施管理、城市公共经济管理、城市房地产管理、行政法学的基础理论、行政主体、各种具体行政行为和抽象行政行为、行政程序、行政诉讼、行政赔偿、公共伦理的基本原则、公共伦理修养及养成机制、公共伦理的制度建设、财政支出基本理论、财政收入基本理论、税收原理及税制、国债及国债管理、政府预算与预算管理体制、财政平衡与财政赤字、财政政策</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widowControl/>
              <w:spacing w:line="360" w:lineRule="auto"/>
              <w:contextualSpacing/>
              <w:jc w:val="left"/>
              <w:rPr>
                <w:rFonts w:ascii="仿宋_GB2312" w:hAnsi="宋体" w:eastAsia="仿宋_GB2312"/>
              </w:rPr>
            </w:pPr>
            <w:r>
              <w:rPr>
                <w:rFonts w:hint="eastAsia" w:ascii="仿宋_GB2312" w:hAnsi="宋体" w:eastAsia="仿宋_GB2312"/>
              </w:rPr>
              <w:t>公共政策学、市政管理学、行政法学、公共伦理学、财政学</w:t>
            </w:r>
          </w:p>
          <w:p>
            <w:pPr>
              <w:widowControl/>
              <w:spacing w:line="360" w:lineRule="auto"/>
              <w:contextualSpacing/>
              <w:rPr>
                <w:rFonts w:ascii="仿宋_GB2312" w:hAnsi="宋体" w:eastAsia="仿宋_GB2312"/>
              </w:rPr>
            </w:pPr>
            <w:r>
              <w:rPr>
                <w:rFonts w:hint="eastAsia" w:ascii="仿宋_GB2312" w:hAnsi="宋体" w:eastAsia="仿宋_GB2312"/>
              </w:rPr>
              <w:t>物业管理、项目管理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2382" w:hRule="atLeast"/>
          <w:jc w:val="center"/>
        </w:trPr>
        <w:tc>
          <w:tcPr>
            <w:tcW w:w="1367" w:type="dxa"/>
            <w:vMerge w:val="continue"/>
            <w:tcBorders>
              <w:top w:val="single" w:color="auto" w:sz="8" w:space="0"/>
              <w:left w:val="single" w:color="auto" w:sz="12" w:space="0"/>
              <w:bottom w:val="single" w:color="auto" w:sz="8" w:space="0"/>
              <w:right w:val="single" w:color="auto" w:sz="8" w:space="0"/>
            </w:tcBorders>
            <w:vAlign w:val="center"/>
          </w:tcPr>
          <w:p>
            <w:pPr>
              <w:widowControl/>
              <w:spacing w:line="360" w:lineRule="auto"/>
              <w:contextualSpacing/>
              <w:jc w:val="left"/>
              <w:rPr>
                <w:rFonts w:ascii="仿宋_GB2312" w:hAnsi="宋体" w:eastAsia="仿宋_GB2312"/>
                <w:color w:val="000000"/>
              </w:rPr>
            </w:pPr>
          </w:p>
        </w:tc>
        <w:tc>
          <w:tcPr>
            <w:tcW w:w="5580" w:type="dxa"/>
            <w:tcBorders>
              <w:top w:val="single" w:color="auto" w:sz="8" w:space="0"/>
              <w:left w:val="single" w:color="auto" w:sz="8" w:space="0"/>
              <w:bottom w:val="single" w:color="auto" w:sz="8" w:space="0"/>
              <w:right w:val="single" w:color="auto" w:sz="8" w:space="0"/>
            </w:tcBorders>
            <w:vAlign w:val="center"/>
          </w:tcPr>
          <w:p>
            <w:pPr>
              <w:widowControl/>
              <w:spacing w:line="360" w:lineRule="auto"/>
              <w:ind w:left="111" w:leftChars="53" w:right="111" w:rightChars="53"/>
              <w:contextualSpacing/>
              <w:rPr>
                <w:rFonts w:ascii="仿宋_GB2312" w:hAnsi="宋体" w:eastAsia="仿宋_GB2312"/>
              </w:rPr>
            </w:pPr>
            <w:r>
              <w:rPr>
                <w:rFonts w:hint="eastAsia" w:ascii="仿宋_GB2312" w:hAnsi="宋体" w:eastAsia="仿宋_GB2312"/>
              </w:rPr>
              <w:t>当代中国政治制度、国体、国家形式与国家机构、选举制度、人民代表大会制度、西方国家的宪法制度、政党制度、选举制度、议会制度、司法制度、信息系统技术基础、应用、开发策略与方法、管理与控制、宪政：西方国家政治制度的本质特征、外国与中国公务员制度的形成与演进、公务员的法律关系与法治、公务员录用、考核、奖惩、职务升降、任职与免职、培训、监管机制、高素质的公务员队伍建设</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widowControl/>
              <w:spacing w:line="360" w:lineRule="auto"/>
              <w:contextualSpacing/>
              <w:jc w:val="left"/>
              <w:rPr>
                <w:rFonts w:ascii="仿宋_GB2312" w:hAnsi="宋体" w:eastAsia="仿宋_GB2312"/>
              </w:rPr>
            </w:pPr>
            <w:r>
              <w:rPr>
                <w:rFonts w:hint="eastAsia" w:ascii="仿宋_GB2312" w:hAnsi="宋体" w:eastAsia="仿宋_GB2312"/>
              </w:rPr>
              <w:t>当代中国政治制度、西方政治制度、管理信息系统、国家公务员制度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845" w:hRule="atLeast"/>
          <w:jc w:val="center"/>
        </w:trPr>
        <w:tc>
          <w:tcPr>
            <w:tcW w:w="1367" w:type="dxa"/>
            <w:vMerge w:val="restart"/>
            <w:tcBorders>
              <w:top w:val="single" w:color="auto" w:sz="8" w:space="0"/>
              <w:left w:val="single" w:color="auto" w:sz="12" w:space="0"/>
              <w:bottom w:val="single" w:color="auto" w:sz="8" w:space="0"/>
              <w:right w:val="single" w:color="auto" w:sz="8" w:space="0"/>
            </w:tcBorders>
            <w:vAlign w:val="center"/>
          </w:tcPr>
          <w:p>
            <w:pPr>
              <w:pStyle w:val="2"/>
              <w:spacing w:line="360" w:lineRule="auto"/>
              <w:contextualSpacing/>
              <w:jc w:val="center"/>
              <w:rPr>
                <w:rFonts w:cs="Times New Roman"/>
                <w:b/>
                <w:bCs/>
              </w:rPr>
            </w:pPr>
            <w:r>
              <w:rPr>
                <w:rFonts w:hint="eastAsia"/>
                <w:b/>
                <w:bCs/>
              </w:rPr>
              <w:t>职业能力素质</w:t>
            </w:r>
          </w:p>
          <w:p>
            <w:pPr>
              <w:spacing w:line="360" w:lineRule="auto"/>
              <w:contextualSpacing/>
              <w:jc w:val="center"/>
              <w:rPr>
                <w:b/>
                <w:bCs/>
              </w:rPr>
            </w:pPr>
            <w:r>
              <w:rPr>
                <w:rFonts w:hint="eastAsia" w:cs="宋体"/>
              </w:rPr>
              <w:t>（包括职业规划、创新创业、行业实践、职业素养等方面的能力素质）</w:t>
            </w:r>
          </w:p>
        </w:tc>
        <w:tc>
          <w:tcPr>
            <w:tcW w:w="5580" w:type="dxa"/>
            <w:tcBorders>
              <w:top w:val="single" w:color="auto" w:sz="8" w:space="0"/>
              <w:left w:val="single" w:color="auto" w:sz="8" w:space="0"/>
              <w:bottom w:val="single" w:color="auto" w:sz="8" w:space="0"/>
              <w:right w:val="single" w:color="auto" w:sz="8" w:space="0"/>
            </w:tcBorders>
            <w:vAlign w:val="center"/>
          </w:tcPr>
          <w:p>
            <w:pPr>
              <w:spacing w:line="360" w:lineRule="auto"/>
              <w:ind w:left="111" w:leftChars="53" w:right="111" w:rightChars="53"/>
              <w:contextualSpacing/>
              <w:rPr>
                <w:rFonts w:ascii="仿宋_GB2312" w:hAnsi="宋体" w:eastAsia="仿宋_GB2312"/>
              </w:rPr>
            </w:pPr>
            <w:r>
              <w:rPr>
                <w:rFonts w:hint="eastAsia" w:ascii="仿宋_GB2312" w:hAnsi="宋体" w:eastAsia="仿宋_GB2312"/>
              </w:rPr>
              <w:t>大学生职业生涯规划，职业发展教育，就业指导，创业教育</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pStyle w:val="2"/>
              <w:spacing w:line="360" w:lineRule="auto"/>
              <w:contextualSpacing/>
              <w:rPr>
                <w:rFonts w:ascii="仿宋_GB2312" w:hAnsi="宋体" w:eastAsia="仿宋_GB2312" w:cs="Times New Roman"/>
              </w:rPr>
            </w:pPr>
            <w:r>
              <w:rPr>
                <w:rFonts w:hint="eastAsia" w:ascii="仿宋_GB2312" w:hAnsi="宋体" w:eastAsia="仿宋_GB2312" w:cs="Times New Roman"/>
              </w:rPr>
              <w:t>大学生职业发展与就业指导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845" w:hRule="atLeast"/>
          <w:jc w:val="center"/>
        </w:trPr>
        <w:tc>
          <w:tcPr>
            <w:tcW w:w="1367" w:type="dxa"/>
            <w:vMerge w:val="continue"/>
            <w:tcBorders>
              <w:top w:val="single" w:color="auto" w:sz="8" w:space="0"/>
              <w:left w:val="single" w:color="auto" w:sz="12" w:space="0"/>
              <w:bottom w:val="single" w:color="auto" w:sz="8" w:space="0"/>
              <w:right w:val="single" w:color="auto" w:sz="8" w:space="0"/>
            </w:tcBorders>
            <w:vAlign w:val="top"/>
          </w:tcPr>
          <w:p>
            <w:pPr>
              <w:spacing w:line="360" w:lineRule="auto"/>
              <w:contextualSpacing/>
            </w:pPr>
          </w:p>
        </w:tc>
        <w:tc>
          <w:tcPr>
            <w:tcW w:w="5580" w:type="dxa"/>
            <w:tcBorders>
              <w:top w:val="single" w:color="auto" w:sz="8" w:space="0"/>
              <w:left w:val="single" w:color="auto" w:sz="8" w:space="0"/>
              <w:bottom w:val="single" w:color="auto" w:sz="8" w:space="0"/>
              <w:right w:val="single" w:color="auto" w:sz="8" w:space="0"/>
            </w:tcBorders>
            <w:vAlign w:val="center"/>
          </w:tcPr>
          <w:p>
            <w:pPr>
              <w:spacing w:line="360" w:lineRule="auto"/>
              <w:ind w:left="111" w:leftChars="53" w:right="111" w:rightChars="53"/>
              <w:contextualSpacing/>
              <w:rPr>
                <w:rFonts w:ascii="仿宋_GB2312" w:hAnsi="宋体" w:eastAsia="仿宋_GB2312"/>
              </w:rPr>
            </w:pPr>
            <w:r>
              <w:rPr>
                <w:rFonts w:hint="eastAsia" w:ascii="仿宋_GB2312" w:hAnsi="宋体" w:eastAsia="仿宋_GB2312"/>
              </w:rPr>
              <w:t>选题论证，文献检索与整理，调研，设计或实验，结果分析讨论，论文写作，答辩等</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pStyle w:val="2"/>
              <w:spacing w:line="360" w:lineRule="auto"/>
              <w:contextualSpacing/>
              <w:rPr>
                <w:rFonts w:ascii="仿宋_GB2312" w:hAnsi="宋体" w:eastAsia="仿宋_GB2312" w:cs="Times New Roman"/>
              </w:rPr>
            </w:pPr>
            <w:r>
              <w:rPr>
                <w:rFonts w:hint="eastAsia" w:ascii="仿宋_GB2312" w:hAnsi="宋体" w:eastAsia="仿宋_GB2312" w:cs="Times New Roman"/>
              </w:rPr>
              <w:t>毕业设计（论文）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689" w:hRule="atLeast"/>
          <w:jc w:val="center"/>
        </w:trPr>
        <w:tc>
          <w:tcPr>
            <w:tcW w:w="1367" w:type="dxa"/>
            <w:vMerge w:val="continue"/>
            <w:tcBorders>
              <w:top w:val="single" w:color="auto" w:sz="8" w:space="0"/>
              <w:left w:val="single" w:color="auto" w:sz="12" w:space="0"/>
              <w:bottom w:val="single" w:color="auto" w:sz="8" w:space="0"/>
              <w:right w:val="single" w:color="auto" w:sz="8" w:space="0"/>
            </w:tcBorders>
            <w:vAlign w:val="top"/>
          </w:tcPr>
          <w:p>
            <w:pPr>
              <w:spacing w:line="360" w:lineRule="auto"/>
              <w:contextualSpacing/>
            </w:pPr>
          </w:p>
        </w:tc>
        <w:tc>
          <w:tcPr>
            <w:tcW w:w="5580" w:type="dxa"/>
            <w:tcBorders>
              <w:top w:val="single" w:color="auto" w:sz="8" w:space="0"/>
              <w:left w:val="single" w:color="auto" w:sz="8" w:space="0"/>
              <w:bottom w:val="single" w:color="auto" w:sz="8" w:space="0"/>
              <w:right w:val="single" w:color="auto" w:sz="8" w:space="0"/>
            </w:tcBorders>
            <w:vAlign w:val="center"/>
          </w:tcPr>
          <w:p>
            <w:pPr>
              <w:spacing w:line="360" w:lineRule="auto"/>
              <w:ind w:left="111" w:leftChars="53" w:right="111" w:rightChars="53"/>
              <w:contextualSpacing/>
              <w:rPr>
                <w:rFonts w:ascii="仿宋_GB2312" w:hAnsi="宋体" w:eastAsia="仿宋_GB2312"/>
              </w:rPr>
            </w:pPr>
            <w:r>
              <w:rPr>
                <w:rFonts w:hint="eastAsia" w:ascii="仿宋_GB2312" w:hAnsi="宋体" w:eastAsia="仿宋_GB2312"/>
              </w:rPr>
              <w:t>各类社会实践活动，研究性学习与创新性实验，学科专业及科技文化竞赛</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pStyle w:val="2"/>
              <w:spacing w:line="360" w:lineRule="auto"/>
              <w:contextualSpacing/>
              <w:rPr>
                <w:rFonts w:ascii="仿宋_GB2312" w:hAnsi="宋体" w:eastAsia="仿宋_GB2312" w:cs="Times New Roman"/>
              </w:rPr>
            </w:pPr>
            <w:r>
              <w:rPr>
                <w:rFonts w:hint="eastAsia" w:ascii="仿宋_GB2312" w:hAnsi="宋体" w:eastAsia="仿宋_GB2312" w:cs="Times New Roman"/>
              </w:rPr>
              <w:t>科技创新、学科竞赛</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1052" w:hRule="atLeast"/>
          <w:jc w:val="center"/>
        </w:trPr>
        <w:tc>
          <w:tcPr>
            <w:tcW w:w="1367" w:type="dxa"/>
            <w:vMerge w:val="continue"/>
            <w:tcBorders>
              <w:top w:val="single" w:color="auto" w:sz="8" w:space="0"/>
              <w:left w:val="single" w:color="auto" w:sz="12" w:space="0"/>
              <w:bottom w:val="single" w:color="auto" w:sz="12" w:space="0"/>
              <w:right w:val="single" w:color="auto" w:sz="8" w:space="0"/>
            </w:tcBorders>
            <w:vAlign w:val="top"/>
          </w:tcPr>
          <w:p>
            <w:pPr>
              <w:spacing w:line="360" w:lineRule="auto"/>
              <w:contextualSpacing/>
            </w:pPr>
          </w:p>
        </w:tc>
        <w:tc>
          <w:tcPr>
            <w:tcW w:w="5580" w:type="dxa"/>
            <w:tcBorders>
              <w:top w:val="single" w:color="auto" w:sz="8" w:space="0"/>
              <w:left w:val="single" w:color="auto" w:sz="8" w:space="0"/>
              <w:bottom w:val="single" w:color="auto" w:sz="12" w:space="0"/>
              <w:right w:val="single" w:color="auto" w:sz="8" w:space="0"/>
            </w:tcBorders>
            <w:vAlign w:val="center"/>
          </w:tcPr>
          <w:p>
            <w:pPr>
              <w:spacing w:line="360" w:lineRule="auto"/>
              <w:contextualSpacing/>
              <w:rPr>
                <w:rFonts w:ascii="仿宋_GB2312" w:hAnsi="宋体" w:eastAsia="仿宋_GB2312"/>
              </w:rPr>
            </w:pPr>
            <w:r>
              <w:rPr>
                <w:rFonts w:hint="eastAsia" w:ascii="仿宋_GB2312" w:hAnsi="宋体" w:eastAsia="仿宋_GB2312"/>
              </w:rPr>
              <w:t>司法资格考试指导、公务员考试指导、助理人力资源管理师考证指导、物业管理师考证指导、项目实训与锻炼、公文协作与处理、人力资源管理模拟演练、公共政策评价与分析</w:t>
            </w:r>
          </w:p>
        </w:tc>
        <w:tc>
          <w:tcPr>
            <w:tcW w:w="1933" w:type="dxa"/>
            <w:tcBorders>
              <w:top w:val="single" w:color="auto" w:sz="8" w:space="0"/>
              <w:left w:val="single" w:color="auto" w:sz="8" w:space="0"/>
              <w:bottom w:val="single" w:color="auto" w:sz="12" w:space="0"/>
              <w:right w:val="single" w:color="auto" w:sz="12" w:space="0"/>
            </w:tcBorders>
            <w:tcMar>
              <w:top w:w="0" w:type="dxa"/>
              <w:left w:w="57" w:type="dxa"/>
              <w:bottom w:w="0" w:type="dxa"/>
              <w:right w:w="57" w:type="dxa"/>
            </w:tcMar>
            <w:vAlign w:val="center"/>
          </w:tcPr>
          <w:p>
            <w:pPr>
              <w:pStyle w:val="2"/>
              <w:spacing w:line="360" w:lineRule="auto"/>
              <w:contextualSpacing/>
              <w:rPr>
                <w:rFonts w:ascii="仿宋_GB2312" w:hAnsi="宋体" w:eastAsia="仿宋_GB2312" w:cs="Times New Roman"/>
              </w:rPr>
            </w:pPr>
            <w:r>
              <w:rPr>
                <w:rFonts w:hint="eastAsia" w:ascii="仿宋_GB2312" w:hAnsi="宋体" w:eastAsia="仿宋_GB2312" w:cs="Times New Roman"/>
              </w:rPr>
              <w:t>职业技能培训指导</w:t>
            </w:r>
          </w:p>
        </w:tc>
      </w:tr>
    </w:tbl>
    <w:p>
      <w:pPr>
        <w:spacing w:line="360" w:lineRule="auto"/>
        <w:ind w:firstLine="480" w:firstLineChars="200"/>
        <w:rPr>
          <w:rFonts w:ascii="黑体" w:hAnsi="宋体" w:eastAsia="黑体"/>
          <w:sz w:val="24"/>
          <w:szCs w:val="24"/>
        </w:rPr>
      </w:pPr>
    </w:p>
    <w:p>
      <w:pPr>
        <w:tabs>
          <w:tab w:val="left" w:pos="0"/>
        </w:tabs>
        <w:spacing w:line="360" w:lineRule="auto"/>
        <w:ind w:firstLine="480" w:firstLineChars="200"/>
        <w:rPr>
          <w:rFonts w:ascii="宋体"/>
          <w:color w:val="000000"/>
          <w:sz w:val="24"/>
          <w:szCs w:val="24"/>
        </w:rPr>
      </w:pPr>
    </w:p>
    <w:p>
      <w:pPr>
        <w:pStyle w:val="2"/>
        <w:spacing w:line="400" w:lineRule="exact"/>
        <w:rPr>
          <w:rFonts w:hint="eastAsia" w:ascii="黑体" w:hAnsi="宋体" w:eastAsia="黑体" w:cs="Courier New"/>
          <w:sz w:val="28"/>
          <w:szCs w:val="28"/>
        </w:rPr>
      </w:pPr>
    </w:p>
    <w:p>
      <w:pPr>
        <w:pStyle w:val="2"/>
        <w:spacing w:line="400" w:lineRule="exact"/>
        <w:rPr>
          <w:rFonts w:ascii="黑体" w:hAnsi="宋体" w:eastAsia="黑体" w:cs="Courier New"/>
          <w:sz w:val="28"/>
          <w:szCs w:val="28"/>
        </w:rPr>
      </w:pPr>
      <w:r>
        <w:rPr>
          <w:rFonts w:hint="eastAsia" w:ascii="黑体" w:hAnsi="宋体" w:eastAsia="黑体" w:cs="Courier New"/>
          <w:sz w:val="28"/>
          <w:szCs w:val="28"/>
        </w:rPr>
        <w:t>四、学制、学分、学时</w:t>
      </w:r>
    </w:p>
    <w:p>
      <w:pPr>
        <w:pStyle w:val="2"/>
        <w:spacing w:line="400" w:lineRule="exact"/>
        <w:ind w:firstLine="480" w:firstLineChars="200"/>
        <w:rPr>
          <w:rFonts w:hAnsi="宋体" w:cs="Times New Roman"/>
          <w:sz w:val="24"/>
          <w:szCs w:val="24"/>
        </w:rPr>
      </w:pPr>
      <w:r>
        <w:rPr>
          <w:rFonts w:hint="eastAsia" w:hAnsi="宋体"/>
          <w:sz w:val="24"/>
          <w:szCs w:val="24"/>
        </w:rPr>
        <w:t>（一）学制：四年</w:t>
      </w:r>
    </w:p>
    <w:p>
      <w:pPr>
        <w:pStyle w:val="2"/>
        <w:spacing w:line="400" w:lineRule="exact"/>
        <w:ind w:firstLine="480" w:firstLineChars="200"/>
        <w:rPr>
          <w:rFonts w:hAnsi="宋体" w:cs="Times New Roman"/>
          <w:sz w:val="24"/>
          <w:szCs w:val="24"/>
        </w:rPr>
      </w:pPr>
      <w:r>
        <w:rPr>
          <w:rFonts w:hint="eastAsia" w:hAnsi="宋体"/>
          <w:sz w:val="24"/>
          <w:szCs w:val="24"/>
        </w:rPr>
        <w:t>（二）学分：</w:t>
      </w:r>
      <w:r>
        <w:rPr>
          <w:rFonts w:hAnsi="宋体"/>
          <w:sz w:val="24"/>
          <w:szCs w:val="24"/>
        </w:rPr>
        <w:t>170</w:t>
      </w:r>
      <w:r>
        <w:rPr>
          <w:rFonts w:hint="eastAsia" w:hAnsi="宋体"/>
          <w:sz w:val="24"/>
          <w:szCs w:val="24"/>
        </w:rPr>
        <w:t>学分</w:t>
      </w:r>
    </w:p>
    <w:p>
      <w:pPr>
        <w:pStyle w:val="2"/>
        <w:spacing w:line="400" w:lineRule="exact"/>
        <w:ind w:firstLine="470" w:firstLineChars="196"/>
        <w:rPr>
          <w:rFonts w:hAnsi="宋体" w:cs="Times New Roman"/>
          <w:sz w:val="24"/>
          <w:szCs w:val="24"/>
        </w:rPr>
      </w:pPr>
      <w:r>
        <w:rPr>
          <w:rFonts w:hint="eastAsia" w:hAnsi="宋体"/>
          <w:sz w:val="24"/>
          <w:szCs w:val="24"/>
        </w:rPr>
        <w:t>（三）学时：</w:t>
      </w:r>
      <w:r>
        <w:rPr>
          <w:rFonts w:hint="eastAsia" w:hAnsi="宋体"/>
          <w:sz w:val="24"/>
          <w:szCs w:val="24"/>
          <w:lang w:val="en-US" w:eastAsia="zh-CN"/>
        </w:rPr>
        <w:t>2933</w:t>
      </w:r>
      <w:r>
        <w:rPr>
          <w:rFonts w:hint="eastAsia" w:hAnsi="宋体"/>
          <w:sz w:val="24"/>
          <w:szCs w:val="24"/>
        </w:rPr>
        <w:t>学时</w:t>
      </w:r>
    </w:p>
    <w:p>
      <w:pPr>
        <w:pStyle w:val="2"/>
        <w:spacing w:line="400" w:lineRule="exact"/>
        <w:ind w:firstLine="472" w:firstLineChars="196"/>
        <w:rPr>
          <w:rFonts w:hAnsi="宋体" w:cs="Times New Roman"/>
          <w:b/>
          <w:bCs/>
          <w:sz w:val="24"/>
          <w:szCs w:val="24"/>
        </w:rPr>
      </w:pPr>
    </w:p>
    <w:p>
      <w:pPr>
        <w:pStyle w:val="2"/>
        <w:spacing w:line="400" w:lineRule="exact"/>
        <w:rPr>
          <w:rFonts w:ascii="黑体" w:hAnsi="宋体" w:eastAsia="黑体" w:cs="Courier New"/>
          <w:sz w:val="28"/>
          <w:szCs w:val="28"/>
        </w:rPr>
      </w:pPr>
      <w:r>
        <w:rPr>
          <w:rFonts w:hint="eastAsia" w:ascii="黑体" w:hAnsi="宋体" w:eastAsia="黑体" w:cs="Courier New"/>
          <w:sz w:val="28"/>
          <w:szCs w:val="28"/>
        </w:rPr>
        <w:t>五、学位和授予条件</w:t>
      </w:r>
    </w:p>
    <w:p>
      <w:pPr>
        <w:pStyle w:val="2"/>
        <w:spacing w:line="400" w:lineRule="exact"/>
        <w:ind w:firstLine="480" w:firstLineChars="200"/>
        <w:rPr>
          <w:rFonts w:hAnsi="宋体" w:cs="Times New Roman"/>
          <w:sz w:val="24"/>
          <w:szCs w:val="24"/>
        </w:rPr>
      </w:pPr>
      <w:r>
        <w:rPr>
          <w:rFonts w:hint="eastAsia" w:hAnsi="宋体"/>
          <w:sz w:val="24"/>
          <w:szCs w:val="24"/>
        </w:rPr>
        <w:t>（一）学位：管理学学士学位</w:t>
      </w:r>
    </w:p>
    <w:p>
      <w:pPr>
        <w:pStyle w:val="2"/>
        <w:spacing w:line="400" w:lineRule="exact"/>
        <w:ind w:firstLine="480" w:firstLineChars="200"/>
        <w:rPr>
          <w:rFonts w:hAnsi="宋体" w:cs="Times New Roman"/>
          <w:sz w:val="24"/>
          <w:szCs w:val="24"/>
        </w:rPr>
      </w:pPr>
      <w:r>
        <w:rPr>
          <w:rFonts w:hint="eastAsia" w:hAnsi="宋体"/>
          <w:sz w:val="24"/>
          <w:szCs w:val="24"/>
        </w:rPr>
        <w:t>（二）授予条件：符合《济宁学院学士学位授予工作实施细则》的有关规定。</w:t>
      </w:r>
    </w:p>
    <w:p>
      <w:pPr>
        <w:pStyle w:val="2"/>
        <w:spacing w:line="400" w:lineRule="exact"/>
        <w:rPr>
          <w:rFonts w:ascii="黑体" w:hAnsi="宋体" w:eastAsia="黑体" w:cs="Courier New"/>
          <w:sz w:val="28"/>
          <w:szCs w:val="28"/>
        </w:rPr>
      </w:pPr>
      <w:r>
        <w:rPr>
          <w:rFonts w:hint="eastAsia" w:ascii="黑体" w:hAnsi="宋体" w:eastAsia="黑体" w:cs="Courier New"/>
          <w:sz w:val="28"/>
          <w:szCs w:val="28"/>
        </w:rPr>
        <w:t>六、专业核心课程简介</w:t>
      </w:r>
    </w:p>
    <w:p>
      <w:pPr>
        <w:spacing w:line="400" w:lineRule="exact"/>
        <w:ind w:left="482"/>
        <w:jc w:val="left"/>
        <w:rPr>
          <w:rFonts w:ascii="宋体" w:hAnsi="宋体"/>
          <w:b/>
          <w:color w:val="000000"/>
          <w:sz w:val="24"/>
          <w:szCs w:val="24"/>
        </w:rPr>
      </w:pPr>
      <w:r>
        <w:rPr>
          <w:rFonts w:ascii="宋体" w:hAnsi="宋体"/>
          <w:b/>
          <w:color w:val="000000"/>
          <w:sz w:val="24"/>
          <w:szCs w:val="24"/>
        </w:rPr>
        <w:t>1.</w:t>
      </w:r>
      <w:r>
        <w:rPr>
          <w:rFonts w:hint="eastAsia" w:ascii="宋体" w:hAnsi="宋体"/>
          <w:b/>
          <w:color w:val="000000"/>
          <w:sz w:val="24"/>
          <w:szCs w:val="24"/>
        </w:rPr>
        <w:t>管理学</w:t>
      </w:r>
      <w:r>
        <w:rPr>
          <w:rFonts w:ascii="宋体" w:hAnsi="宋体"/>
          <w:b/>
          <w:color w:val="000000"/>
          <w:sz w:val="24"/>
          <w:szCs w:val="24"/>
        </w:rPr>
        <w:t xml:space="preserve"> </w:t>
      </w:r>
      <w:r>
        <w:rPr>
          <w:rFonts w:hint="eastAsia" w:ascii="宋体" w:hAnsi="宋体"/>
          <w:b/>
          <w:color w:val="000000"/>
          <w:sz w:val="24"/>
          <w:szCs w:val="24"/>
        </w:rPr>
        <w:t>（</w:t>
      </w:r>
      <w:r>
        <w:rPr>
          <w:rFonts w:ascii="宋体" w:hAnsi="宋体"/>
          <w:b/>
          <w:color w:val="000000"/>
          <w:sz w:val="24"/>
          <w:szCs w:val="24"/>
        </w:rPr>
        <w:t>1103061</w:t>
      </w:r>
      <w:r>
        <w:rPr>
          <w:rFonts w:hint="eastAsia" w:ascii="宋体" w:hAnsi="宋体"/>
          <w:b/>
          <w:color w:val="000000"/>
          <w:sz w:val="24"/>
          <w:szCs w:val="24"/>
          <w:lang w:val="en-US" w:eastAsia="zh-CN"/>
        </w:rPr>
        <w:t>6</w:t>
      </w:r>
      <w:r>
        <w:rPr>
          <w:rFonts w:ascii="宋体" w:hAnsi="宋体"/>
          <w:b/>
          <w:color w:val="000000"/>
          <w:sz w:val="24"/>
          <w:szCs w:val="24"/>
        </w:rPr>
        <w:t>01</w:t>
      </w:r>
      <w:r>
        <w:rPr>
          <w:rFonts w:hint="eastAsia" w:ascii="宋体" w:hAnsi="宋体"/>
          <w:b/>
          <w:color w:val="000000"/>
          <w:sz w:val="24"/>
          <w:szCs w:val="24"/>
        </w:rPr>
        <w:t>）</w:t>
      </w:r>
      <w:r>
        <w:rPr>
          <w:rFonts w:ascii="宋体" w:hAnsi="宋体"/>
          <w:b/>
          <w:color w:val="000000"/>
          <w:sz w:val="24"/>
          <w:szCs w:val="24"/>
        </w:rPr>
        <w:t xml:space="preserve">  4</w:t>
      </w:r>
      <w:r>
        <w:rPr>
          <w:rFonts w:hint="eastAsia" w:ascii="宋体" w:hAnsi="宋体"/>
          <w:b/>
          <w:color w:val="000000"/>
          <w:sz w:val="24"/>
          <w:szCs w:val="24"/>
        </w:rPr>
        <w:t>学分</w:t>
      </w:r>
      <w:r>
        <w:rPr>
          <w:rFonts w:ascii="宋体" w:hAnsi="宋体"/>
          <w:b/>
          <w:color w:val="000000"/>
          <w:sz w:val="24"/>
          <w:szCs w:val="24"/>
        </w:rPr>
        <w:t xml:space="preserve"> </w:t>
      </w:r>
    </w:p>
    <w:p>
      <w:pPr>
        <w:spacing w:line="400" w:lineRule="exact"/>
        <w:ind w:firstLine="480" w:firstLineChars="200"/>
        <w:rPr>
          <w:rFonts w:ascii="宋体" w:hAnsi="宋体" w:cs="Courier New"/>
          <w:sz w:val="24"/>
          <w:szCs w:val="24"/>
        </w:rPr>
      </w:pPr>
      <w:r>
        <w:rPr>
          <w:rFonts w:hint="eastAsia" w:ascii="宋体" w:hAnsi="宋体" w:cs="Courier New"/>
          <w:sz w:val="24"/>
          <w:szCs w:val="24"/>
        </w:rPr>
        <w:t>设置本课程的目的：通过教学使学生掌握基本的管理理论，拥有现代的管理理念，并把管理思想渗透到日后的实际工作之中。</w:t>
      </w:r>
    </w:p>
    <w:p>
      <w:pPr>
        <w:spacing w:line="400" w:lineRule="exact"/>
        <w:ind w:firstLine="480" w:firstLineChars="200"/>
        <w:rPr>
          <w:rFonts w:ascii="宋体" w:hAnsi="宋体" w:cs="Courier New"/>
          <w:sz w:val="24"/>
          <w:szCs w:val="24"/>
        </w:rPr>
      </w:pPr>
      <w:r>
        <w:rPr>
          <w:rFonts w:hint="eastAsia" w:ascii="宋体" w:hAnsi="宋体" w:cs="Courier New"/>
          <w:sz w:val="24"/>
          <w:szCs w:val="24"/>
        </w:rPr>
        <w:t>本课程的主要内容：管理活动与管理理论；道德与社会责任；决策与信息；计划工作；组织工作；人员与领导；控制工作；管理的创新职能；企业组织创新等。</w:t>
      </w:r>
    </w:p>
    <w:p>
      <w:pPr>
        <w:spacing w:line="400" w:lineRule="exact"/>
        <w:ind w:left="482"/>
        <w:jc w:val="left"/>
        <w:rPr>
          <w:rFonts w:ascii="宋体"/>
          <w:color w:val="000000"/>
          <w:sz w:val="24"/>
          <w:szCs w:val="24"/>
        </w:rPr>
      </w:pPr>
      <w:r>
        <w:rPr>
          <w:rFonts w:ascii="宋体" w:hAnsi="宋体"/>
          <w:b/>
          <w:color w:val="000000"/>
          <w:sz w:val="24"/>
          <w:szCs w:val="24"/>
        </w:rPr>
        <w:t>2.</w:t>
      </w:r>
      <w:r>
        <w:rPr>
          <w:rFonts w:hint="eastAsia" w:ascii="宋体" w:hAnsi="宋体"/>
          <w:b/>
          <w:color w:val="000000"/>
          <w:sz w:val="24"/>
          <w:szCs w:val="24"/>
        </w:rPr>
        <w:t>公共关系学（</w:t>
      </w:r>
      <w:r>
        <w:rPr>
          <w:rFonts w:ascii="宋体" w:hAnsi="宋体"/>
          <w:b/>
          <w:color w:val="000000"/>
          <w:sz w:val="24"/>
          <w:szCs w:val="24"/>
        </w:rPr>
        <w:t>1103061</w:t>
      </w:r>
      <w:r>
        <w:rPr>
          <w:rFonts w:hint="eastAsia" w:ascii="宋体" w:hAnsi="宋体"/>
          <w:b/>
          <w:color w:val="000000"/>
          <w:sz w:val="24"/>
          <w:szCs w:val="24"/>
          <w:lang w:val="en-US" w:eastAsia="zh-CN"/>
        </w:rPr>
        <w:t>6</w:t>
      </w:r>
      <w:r>
        <w:rPr>
          <w:rFonts w:ascii="宋体" w:hAnsi="宋体"/>
          <w:b/>
          <w:color w:val="000000"/>
          <w:sz w:val="24"/>
          <w:szCs w:val="24"/>
        </w:rPr>
        <w:t>02</w:t>
      </w:r>
      <w:r>
        <w:rPr>
          <w:rFonts w:hint="eastAsia" w:ascii="宋体" w:hAnsi="宋体"/>
          <w:b/>
          <w:color w:val="000000"/>
          <w:sz w:val="24"/>
          <w:szCs w:val="24"/>
        </w:rPr>
        <w:t>）</w:t>
      </w:r>
      <w:r>
        <w:rPr>
          <w:rFonts w:ascii="宋体" w:hAnsi="宋体"/>
          <w:b/>
          <w:color w:val="000000"/>
          <w:sz w:val="24"/>
          <w:szCs w:val="24"/>
        </w:rPr>
        <w:t xml:space="preserve">  4</w:t>
      </w:r>
      <w:r>
        <w:rPr>
          <w:rFonts w:hint="eastAsia" w:ascii="宋体" w:hAnsi="宋体"/>
          <w:b/>
          <w:color w:val="000000"/>
          <w:sz w:val="24"/>
          <w:szCs w:val="24"/>
        </w:rPr>
        <w:t>学分</w:t>
      </w:r>
    </w:p>
    <w:p>
      <w:pPr>
        <w:spacing w:line="400" w:lineRule="exact"/>
        <w:ind w:firstLine="480" w:firstLineChars="200"/>
        <w:jc w:val="left"/>
        <w:rPr>
          <w:rFonts w:ascii="宋体"/>
          <w:color w:val="000000"/>
          <w:sz w:val="24"/>
          <w:szCs w:val="24"/>
        </w:rPr>
      </w:pPr>
      <w:r>
        <w:rPr>
          <w:rFonts w:hint="eastAsia" w:ascii="宋体" w:hAnsi="宋体" w:cs="宋体"/>
          <w:sz w:val="24"/>
          <w:szCs w:val="24"/>
        </w:rPr>
        <w:t>设置本课程的目的：</w:t>
      </w:r>
      <w:r>
        <w:rPr>
          <w:rFonts w:hint="eastAsia" w:ascii="宋体" w:hAnsi="宋体" w:cs="宋体"/>
          <w:color w:val="000000"/>
          <w:sz w:val="24"/>
          <w:szCs w:val="24"/>
        </w:rPr>
        <w:t>通过系统的公共关系理论和实务的学习，让学生掌握公共关系的基本原理和实务；认识到良好的公共关系能够帮助塑造组织形象，提高个人素质，促使社会环境优化。</w:t>
      </w:r>
    </w:p>
    <w:p>
      <w:pPr>
        <w:spacing w:line="400" w:lineRule="exact"/>
        <w:ind w:firstLine="480" w:firstLineChars="200"/>
        <w:jc w:val="left"/>
        <w:rPr>
          <w:rFonts w:ascii="宋体"/>
          <w:color w:val="000000"/>
          <w:sz w:val="24"/>
          <w:szCs w:val="24"/>
        </w:rPr>
      </w:pPr>
      <w:r>
        <w:rPr>
          <w:rFonts w:hint="eastAsia" w:ascii="宋体" w:hAnsi="宋体" w:cs="宋体"/>
          <w:sz w:val="24"/>
          <w:szCs w:val="24"/>
        </w:rPr>
        <w:t>本课程的主要内容：</w:t>
      </w:r>
      <w:r>
        <w:rPr>
          <w:rFonts w:hint="eastAsia" w:ascii="宋体" w:hAnsi="宋体" w:cs="宋体"/>
          <w:color w:val="000000"/>
          <w:sz w:val="24"/>
          <w:szCs w:val="24"/>
        </w:rPr>
        <w:t>公共关系的涵义；公共关系的历史发展；公共关系基本要素；公共关系原则；公共关系组织机构；公共关系策划；公共关系广告；公共关系演讲；公共关系谈判；公共关系社交礼仪；公共关系营销；公共关系专题活动。</w:t>
      </w:r>
    </w:p>
    <w:p>
      <w:pPr>
        <w:spacing w:line="400" w:lineRule="exact"/>
        <w:ind w:left="482"/>
        <w:jc w:val="left"/>
        <w:rPr>
          <w:rFonts w:ascii="宋体" w:hAnsi="宋体"/>
          <w:b/>
          <w:color w:val="000000"/>
          <w:sz w:val="24"/>
          <w:szCs w:val="24"/>
        </w:rPr>
      </w:pPr>
      <w:r>
        <w:rPr>
          <w:rFonts w:ascii="宋体" w:hAnsi="宋体"/>
          <w:b/>
          <w:color w:val="000000"/>
          <w:sz w:val="24"/>
          <w:szCs w:val="24"/>
        </w:rPr>
        <w:t>3.</w:t>
      </w:r>
      <w:r>
        <w:rPr>
          <w:rFonts w:hint="eastAsia" w:ascii="宋体" w:hAnsi="宋体"/>
          <w:b/>
          <w:color w:val="000000"/>
          <w:sz w:val="24"/>
          <w:szCs w:val="24"/>
        </w:rPr>
        <w:t>社会学</w:t>
      </w:r>
      <w:r>
        <w:rPr>
          <w:rFonts w:ascii="宋体" w:hAnsi="宋体"/>
          <w:b/>
          <w:color w:val="000000"/>
          <w:sz w:val="24"/>
          <w:szCs w:val="24"/>
        </w:rPr>
        <w:t>(1103061</w:t>
      </w:r>
      <w:r>
        <w:rPr>
          <w:rFonts w:hint="eastAsia" w:ascii="宋体" w:hAnsi="宋体"/>
          <w:b/>
          <w:color w:val="000000"/>
          <w:sz w:val="24"/>
          <w:szCs w:val="24"/>
          <w:lang w:val="en-US" w:eastAsia="zh-CN"/>
        </w:rPr>
        <w:t>6</w:t>
      </w:r>
      <w:r>
        <w:rPr>
          <w:rFonts w:ascii="宋体" w:hAnsi="宋体"/>
          <w:b/>
          <w:color w:val="000000"/>
          <w:sz w:val="24"/>
          <w:szCs w:val="24"/>
        </w:rPr>
        <w:t>0</w:t>
      </w:r>
      <w:r>
        <w:rPr>
          <w:rFonts w:hint="eastAsia" w:ascii="宋体" w:hAnsi="宋体"/>
          <w:b/>
          <w:color w:val="000000"/>
          <w:sz w:val="24"/>
          <w:szCs w:val="24"/>
          <w:lang w:val="en-US" w:eastAsia="zh-CN"/>
        </w:rPr>
        <w:t>5</w:t>
      </w:r>
      <w:r>
        <w:rPr>
          <w:rFonts w:ascii="宋体" w:hAnsi="宋体"/>
          <w:b/>
          <w:color w:val="000000"/>
          <w:sz w:val="24"/>
          <w:szCs w:val="24"/>
        </w:rPr>
        <w:t>)  4</w:t>
      </w:r>
      <w:r>
        <w:rPr>
          <w:rFonts w:hint="eastAsia" w:ascii="宋体" w:hAnsi="宋体"/>
          <w:b/>
          <w:color w:val="000000"/>
          <w:sz w:val="24"/>
          <w:szCs w:val="24"/>
        </w:rPr>
        <w:t>学分</w:t>
      </w:r>
    </w:p>
    <w:p>
      <w:pPr>
        <w:spacing w:line="400" w:lineRule="exact"/>
        <w:ind w:firstLine="480" w:firstLineChars="200"/>
        <w:jc w:val="left"/>
        <w:rPr>
          <w:rFonts w:ascii="宋体"/>
          <w:sz w:val="24"/>
          <w:szCs w:val="24"/>
        </w:rPr>
      </w:pPr>
      <w:r>
        <w:rPr>
          <w:rFonts w:hint="eastAsia" w:ascii="宋体" w:hAnsi="宋体" w:cs="宋体"/>
          <w:sz w:val="24"/>
          <w:szCs w:val="24"/>
        </w:rPr>
        <w:t>设置本课程的目的：</w:t>
      </w:r>
      <w:r>
        <w:rPr>
          <w:rFonts w:hint="eastAsia" w:ascii="宋体" w:hAnsi="宋体" w:cs="宋体"/>
          <w:color w:val="000000"/>
          <w:sz w:val="24"/>
          <w:szCs w:val="24"/>
        </w:rPr>
        <w:t>通过教学使学生</w:t>
      </w:r>
      <w:r>
        <w:rPr>
          <w:rFonts w:hint="eastAsia" w:ascii="宋体" w:hAnsi="宋体" w:cs="宋体"/>
          <w:sz w:val="24"/>
          <w:szCs w:val="24"/>
        </w:rPr>
        <w:t>掌握社会学的基本知识、基础理论以及考察社会的基本角度，认识社会认识自我并用于改造社会完善自我。</w:t>
      </w:r>
    </w:p>
    <w:p>
      <w:pPr>
        <w:spacing w:line="400" w:lineRule="exact"/>
        <w:ind w:firstLine="480" w:firstLineChars="200"/>
        <w:jc w:val="left"/>
        <w:rPr>
          <w:rFonts w:ascii="宋体"/>
          <w:color w:val="000000"/>
          <w:sz w:val="24"/>
          <w:szCs w:val="24"/>
        </w:rPr>
      </w:pPr>
      <w:r>
        <w:rPr>
          <w:rFonts w:hint="eastAsia" w:ascii="宋体" w:hAnsi="宋体" w:cs="宋体"/>
          <w:sz w:val="24"/>
          <w:szCs w:val="24"/>
        </w:rPr>
        <w:t>本课程的主要内容：</w:t>
      </w:r>
      <w:r>
        <w:rPr>
          <w:rFonts w:hint="eastAsia" w:ascii="宋体" w:hAnsi="宋体" w:cs="宋体"/>
          <w:color w:val="000000"/>
          <w:sz w:val="24"/>
          <w:szCs w:val="24"/>
        </w:rPr>
        <w:t>社会学的学科定位、社会学的历史回顾与理论流派、文化、社会与社会结构、社会群体、社会组织、社会制度、人的社会化、社会的运行、社会角色与社会、社会分层与社会流动、越轨与社会控制、社会问题、社会的变迁、社会保障与社会工作。</w:t>
      </w:r>
    </w:p>
    <w:p>
      <w:pPr>
        <w:spacing w:line="400" w:lineRule="exact"/>
        <w:ind w:left="482"/>
        <w:jc w:val="left"/>
        <w:rPr>
          <w:rFonts w:ascii="宋体" w:hAnsi="宋体"/>
          <w:b/>
          <w:color w:val="000000"/>
          <w:sz w:val="24"/>
          <w:szCs w:val="24"/>
        </w:rPr>
      </w:pPr>
      <w:r>
        <w:rPr>
          <w:rFonts w:ascii="宋体" w:hAnsi="宋体"/>
          <w:b/>
          <w:color w:val="000000"/>
          <w:sz w:val="24"/>
          <w:szCs w:val="24"/>
        </w:rPr>
        <w:t>4.</w:t>
      </w:r>
      <w:r>
        <w:rPr>
          <w:rFonts w:hint="eastAsia" w:ascii="宋体" w:hAnsi="宋体"/>
          <w:b/>
          <w:color w:val="000000"/>
          <w:sz w:val="24"/>
          <w:szCs w:val="24"/>
        </w:rPr>
        <w:t>政治学</w:t>
      </w:r>
      <w:r>
        <w:rPr>
          <w:rFonts w:ascii="宋体" w:hAnsi="宋体"/>
          <w:b/>
          <w:color w:val="000000"/>
          <w:sz w:val="24"/>
          <w:szCs w:val="24"/>
        </w:rPr>
        <w:t>(1103061</w:t>
      </w:r>
      <w:r>
        <w:rPr>
          <w:rFonts w:hint="eastAsia" w:ascii="宋体" w:hAnsi="宋体"/>
          <w:b/>
          <w:color w:val="000000"/>
          <w:sz w:val="24"/>
          <w:szCs w:val="24"/>
          <w:lang w:val="en-US" w:eastAsia="zh-CN"/>
        </w:rPr>
        <w:t>6</w:t>
      </w:r>
      <w:r>
        <w:rPr>
          <w:rFonts w:ascii="宋体" w:hAnsi="宋体"/>
          <w:b/>
          <w:color w:val="000000"/>
          <w:sz w:val="24"/>
          <w:szCs w:val="24"/>
        </w:rPr>
        <w:t>0</w:t>
      </w:r>
      <w:r>
        <w:rPr>
          <w:rFonts w:hint="eastAsia" w:ascii="宋体" w:hAnsi="宋体"/>
          <w:b/>
          <w:color w:val="000000"/>
          <w:sz w:val="24"/>
          <w:szCs w:val="24"/>
          <w:lang w:val="en-US" w:eastAsia="zh-CN"/>
        </w:rPr>
        <w:t>6</w:t>
      </w:r>
      <w:r>
        <w:rPr>
          <w:rFonts w:ascii="宋体" w:hAnsi="宋体"/>
          <w:b/>
          <w:color w:val="000000"/>
          <w:sz w:val="24"/>
          <w:szCs w:val="24"/>
        </w:rPr>
        <w:t>)  3</w:t>
      </w:r>
      <w:r>
        <w:rPr>
          <w:rFonts w:hint="eastAsia" w:ascii="宋体" w:hAnsi="宋体"/>
          <w:b/>
          <w:color w:val="000000"/>
          <w:sz w:val="24"/>
          <w:szCs w:val="24"/>
        </w:rPr>
        <w:t>学分</w:t>
      </w:r>
    </w:p>
    <w:p>
      <w:pPr>
        <w:spacing w:line="400" w:lineRule="exact"/>
        <w:ind w:firstLine="480" w:firstLineChars="200"/>
        <w:jc w:val="left"/>
        <w:rPr>
          <w:rFonts w:ascii="宋体"/>
          <w:sz w:val="24"/>
          <w:szCs w:val="24"/>
        </w:rPr>
      </w:pPr>
      <w:r>
        <w:rPr>
          <w:rFonts w:hint="eastAsia" w:ascii="宋体" w:hAnsi="宋体" w:cs="宋体"/>
          <w:sz w:val="24"/>
          <w:szCs w:val="24"/>
        </w:rPr>
        <w:t>设置本课程的目的：</w:t>
      </w:r>
      <w:r>
        <w:rPr>
          <w:rFonts w:hint="eastAsia" w:ascii="宋体" w:hAnsi="宋体" w:cs="宋体"/>
          <w:color w:val="000000"/>
          <w:sz w:val="24"/>
          <w:szCs w:val="24"/>
        </w:rPr>
        <w:t>通过教学使学生</w:t>
      </w:r>
      <w:r>
        <w:rPr>
          <w:rFonts w:hint="eastAsia" w:ascii="宋体" w:hAnsi="宋体" w:cs="宋体"/>
          <w:sz w:val="24"/>
          <w:szCs w:val="24"/>
        </w:rPr>
        <w:t>了解政治学的基本理论和基本方法，并培养起政治学思维习惯和理念，并能够更为客观理性地分析和了解政治活动及现象的运行规律。</w:t>
      </w:r>
    </w:p>
    <w:p>
      <w:pPr>
        <w:spacing w:line="400" w:lineRule="exact"/>
        <w:ind w:firstLine="480" w:firstLineChars="200"/>
        <w:jc w:val="left"/>
        <w:rPr>
          <w:rFonts w:ascii="宋体"/>
          <w:sz w:val="24"/>
          <w:szCs w:val="24"/>
        </w:rPr>
      </w:pPr>
      <w:r>
        <w:rPr>
          <w:rFonts w:hint="eastAsia" w:ascii="宋体" w:hAnsi="宋体" w:cs="宋体"/>
          <w:sz w:val="24"/>
          <w:szCs w:val="24"/>
        </w:rPr>
        <w:t>本课程的主要内容：政治与政治学、政治研究的历史与现状、公共权力与公民权利、</w:t>
      </w:r>
      <w:r>
        <w:rPr>
          <w:rFonts w:hint="eastAsia" w:ascii="Tahoma" w:hAnsi="Tahoma" w:cs="宋体"/>
          <w:color w:val="000000"/>
          <w:sz w:val="24"/>
          <w:szCs w:val="24"/>
          <w:shd w:val="clear" w:color="auto" w:fill="FFFFFF"/>
        </w:rPr>
        <w:t>国家与政府、政党与社团、政治秩序与治理、政治参与与监督、政治文化与意识形态、政治发展与政治文明、民主与民主化</w:t>
      </w:r>
      <w:r>
        <w:rPr>
          <w:rFonts w:hint="eastAsia" w:ascii="宋体" w:hAnsi="宋体" w:cs="宋体"/>
          <w:sz w:val="24"/>
          <w:szCs w:val="24"/>
        </w:rPr>
        <w:t>。</w:t>
      </w:r>
    </w:p>
    <w:p>
      <w:pPr>
        <w:spacing w:line="400" w:lineRule="exact"/>
        <w:ind w:left="482"/>
        <w:jc w:val="left"/>
        <w:rPr>
          <w:rFonts w:ascii="宋体" w:hAnsi="宋体"/>
          <w:b/>
          <w:color w:val="000000"/>
          <w:sz w:val="24"/>
          <w:szCs w:val="24"/>
        </w:rPr>
      </w:pPr>
      <w:r>
        <w:rPr>
          <w:rFonts w:ascii="宋体" w:hAnsi="宋体"/>
          <w:b/>
          <w:color w:val="000000"/>
          <w:sz w:val="24"/>
          <w:szCs w:val="24"/>
        </w:rPr>
        <w:t>5.</w:t>
      </w:r>
      <w:r>
        <w:rPr>
          <w:rFonts w:hint="eastAsia" w:ascii="宋体" w:hAnsi="宋体"/>
          <w:b/>
          <w:color w:val="000000"/>
          <w:sz w:val="24"/>
          <w:szCs w:val="24"/>
        </w:rPr>
        <w:t>行政法学</w:t>
      </w:r>
      <w:r>
        <w:rPr>
          <w:rFonts w:ascii="宋体" w:hAnsi="宋体"/>
          <w:b/>
          <w:color w:val="000000"/>
          <w:sz w:val="24"/>
          <w:szCs w:val="24"/>
        </w:rPr>
        <w:t>(1103061</w:t>
      </w:r>
      <w:r>
        <w:rPr>
          <w:rFonts w:hint="eastAsia" w:ascii="宋体" w:hAnsi="宋体"/>
          <w:b/>
          <w:color w:val="000000"/>
          <w:sz w:val="24"/>
          <w:szCs w:val="24"/>
          <w:lang w:val="en-US" w:eastAsia="zh-CN"/>
        </w:rPr>
        <w:t>613</w:t>
      </w:r>
      <w:r>
        <w:rPr>
          <w:rFonts w:ascii="宋体" w:hAnsi="宋体"/>
          <w:b/>
          <w:color w:val="000000"/>
          <w:sz w:val="24"/>
          <w:szCs w:val="24"/>
        </w:rPr>
        <w:t>)  4</w:t>
      </w:r>
      <w:r>
        <w:rPr>
          <w:rFonts w:hint="eastAsia" w:ascii="宋体" w:hAnsi="宋体"/>
          <w:b/>
          <w:color w:val="000000"/>
          <w:sz w:val="24"/>
          <w:szCs w:val="24"/>
        </w:rPr>
        <w:t>学分</w:t>
      </w:r>
    </w:p>
    <w:p>
      <w:pPr>
        <w:spacing w:line="400" w:lineRule="exact"/>
        <w:ind w:firstLine="480" w:firstLineChars="200"/>
        <w:jc w:val="left"/>
        <w:rPr>
          <w:rFonts w:ascii="宋体"/>
          <w:color w:val="000000"/>
          <w:sz w:val="24"/>
          <w:szCs w:val="24"/>
        </w:rPr>
      </w:pPr>
      <w:r>
        <w:rPr>
          <w:rFonts w:hint="eastAsia" w:ascii="宋体" w:hAnsi="宋体" w:cs="宋体"/>
          <w:sz w:val="24"/>
          <w:szCs w:val="24"/>
        </w:rPr>
        <w:t>设置本课程的目的：</w:t>
      </w:r>
      <w:r>
        <w:rPr>
          <w:rFonts w:hint="eastAsia" w:ascii="宋体" w:hAnsi="宋体" w:cs="宋体"/>
          <w:color w:val="000000"/>
          <w:sz w:val="24"/>
          <w:szCs w:val="24"/>
        </w:rPr>
        <w:t>通过教学使学生熟练掌握行政立法、行政司法、行政执法等问题。</w:t>
      </w:r>
    </w:p>
    <w:p>
      <w:pPr>
        <w:spacing w:line="400" w:lineRule="exact"/>
        <w:ind w:firstLine="480" w:firstLineChars="200"/>
        <w:jc w:val="left"/>
        <w:rPr>
          <w:rFonts w:ascii="宋体"/>
          <w:color w:val="000000"/>
          <w:sz w:val="24"/>
          <w:szCs w:val="24"/>
        </w:rPr>
      </w:pPr>
      <w:r>
        <w:rPr>
          <w:rFonts w:hint="eastAsia" w:ascii="宋体" w:hAnsi="宋体" w:cs="宋体"/>
          <w:sz w:val="24"/>
          <w:szCs w:val="24"/>
        </w:rPr>
        <w:t>本课程的主要内容：</w:t>
      </w:r>
      <w:r>
        <w:rPr>
          <w:rFonts w:hint="eastAsia" w:ascii="宋体" w:hAnsi="宋体" w:cs="宋体"/>
          <w:kern w:val="0"/>
          <w:sz w:val="24"/>
          <w:szCs w:val="24"/>
        </w:rPr>
        <w:t>行政法学的基础理论、行政主体、各种具体行政行为和抽象行政行为、行政程序、行政诉讼、行政赔偿等。</w:t>
      </w:r>
    </w:p>
    <w:p>
      <w:pPr>
        <w:spacing w:line="400" w:lineRule="exact"/>
        <w:ind w:left="482"/>
        <w:jc w:val="left"/>
        <w:rPr>
          <w:rFonts w:ascii="宋体" w:hAnsi="宋体"/>
          <w:b/>
          <w:color w:val="000000"/>
          <w:sz w:val="24"/>
          <w:szCs w:val="24"/>
        </w:rPr>
      </w:pPr>
      <w:r>
        <w:rPr>
          <w:rFonts w:ascii="宋体" w:hAnsi="宋体"/>
          <w:b/>
          <w:color w:val="000000"/>
          <w:sz w:val="24"/>
          <w:szCs w:val="24"/>
        </w:rPr>
        <w:t>6.</w:t>
      </w:r>
      <w:r>
        <w:rPr>
          <w:rFonts w:hint="eastAsia" w:ascii="宋体" w:hAnsi="宋体"/>
          <w:b/>
          <w:color w:val="000000"/>
          <w:sz w:val="24"/>
          <w:szCs w:val="24"/>
        </w:rPr>
        <w:t>人力资源管理（</w:t>
      </w:r>
      <w:r>
        <w:rPr>
          <w:rFonts w:ascii="宋体" w:hAnsi="宋体"/>
          <w:b/>
          <w:color w:val="000000"/>
          <w:sz w:val="24"/>
          <w:szCs w:val="24"/>
        </w:rPr>
        <w:t>1103061</w:t>
      </w:r>
      <w:r>
        <w:rPr>
          <w:rFonts w:hint="eastAsia" w:ascii="宋体" w:hAnsi="宋体"/>
          <w:b/>
          <w:color w:val="000000"/>
          <w:sz w:val="24"/>
          <w:szCs w:val="24"/>
          <w:lang w:val="en-US" w:eastAsia="zh-CN"/>
        </w:rPr>
        <w:t>617</w:t>
      </w:r>
      <w:r>
        <w:rPr>
          <w:rFonts w:hint="eastAsia" w:ascii="宋体" w:hAnsi="宋体"/>
          <w:b/>
          <w:color w:val="000000"/>
          <w:sz w:val="24"/>
          <w:szCs w:val="24"/>
        </w:rPr>
        <w:t>）</w:t>
      </w:r>
      <w:r>
        <w:rPr>
          <w:rFonts w:ascii="宋体" w:hAnsi="宋体"/>
          <w:b/>
          <w:color w:val="000000"/>
          <w:sz w:val="24"/>
          <w:szCs w:val="24"/>
        </w:rPr>
        <w:t xml:space="preserve"> 3</w:t>
      </w:r>
      <w:r>
        <w:rPr>
          <w:rFonts w:hint="eastAsia" w:ascii="宋体" w:hAnsi="宋体"/>
          <w:b/>
          <w:color w:val="000000"/>
          <w:sz w:val="24"/>
          <w:szCs w:val="24"/>
        </w:rPr>
        <w:t>学分</w:t>
      </w:r>
    </w:p>
    <w:p>
      <w:pPr>
        <w:spacing w:line="400" w:lineRule="exact"/>
        <w:ind w:firstLine="480" w:firstLineChars="200"/>
        <w:jc w:val="left"/>
        <w:rPr>
          <w:rFonts w:ascii="宋体"/>
          <w:color w:val="000000"/>
          <w:sz w:val="24"/>
          <w:szCs w:val="24"/>
        </w:rPr>
      </w:pPr>
      <w:r>
        <w:rPr>
          <w:rFonts w:hint="eastAsia" w:ascii="宋体" w:hAnsi="宋体" w:cs="宋体"/>
          <w:sz w:val="24"/>
          <w:szCs w:val="24"/>
        </w:rPr>
        <w:t>设置本课程的目的：</w:t>
      </w:r>
      <w:r>
        <w:rPr>
          <w:rFonts w:hint="eastAsia" w:ascii="宋体" w:hAnsi="宋体" w:cs="宋体"/>
          <w:spacing w:val="10"/>
          <w:sz w:val="24"/>
          <w:szCs w:val="24"/>
        </w:rPr>
        <w:t>通过教学使学生</w:t>
      </w:r>
      <w:r>
        <w:rPr>
          <w:rFonts w:hint="eastAsia" w:ascii="宋体" w:hAnsi="宋体" w:cs="宋体"/>
          <w:kern w:val="0"/>
          <w:sz w:val="24"/>
          <w:szCs w:val="24"/>
        </w:rPr>
        <w:t>熟悉企业人力资源管理的基本工作内容，能够灵活运用人力资源管理的基本方法，掌握人力资源管理的基本规律，并能设计简单的人力资源管理局部环节方案。</w:t>
      </w:r>
    </w:p>
    <w:p>
      <w:pPr>
        <w:spacing w:line="400" w:lineRule="exact"/>
        <w:ind w:firstLine="480" w:firstLineChars="200"/>
        <w:jc w:val="left"/>
        <w:rPr>
          <w:rFonts w:ascii="宋体"/>
          <w:sz w:val="24"/>
          <w:szCs w:val="24"/>
        </w:rPr>
      </w:pPr>
      <w:r>
        <w:rPr>
          <w:rFonts w:hint="eastAsia" w:ascii="宋体" w:hAnsi="宋体" w:cs="宋体"/>
          <w:sz w:val="24"/>
          <w:szCs w:val="24"/>
        </w:rPr>
        <w:t>本课程的主要内容：人力资源概述；人力资源管理理论及实践；人力资源计划、获取、开发与培训；员工业绩评估、员工报酬及激励、员工关系；人力资源会计；人力资源保护；人力资源流动；人力资源管理案例等。</w:t>
      </w:r>
    </w:p>
    <w:p>
      <w:pPr>
        <w:spacing w:line="400" w:lineRule="exact"/>
        <w:ind w:left="482"/>
        <w:jc w:val="left"/>
        <w:rPr>
          <w:rFonts w:ascii="宋体" w:hAnsi="宋体"/>
          <w:b/>
          <w:color w:val="000000"/>
          <w:sz w:val="24"/>
          <w:szCs w:val="24"/>
        </w:rPr>
      </w:pPr>
      <w:r>
        <w:rPr>
          <w:rFonts w:ascii="宋体" w:hAnsi="宋体"/>
          <w:b/>
          <w:color w:val="000000"/>
          <w:sz w:val="24"/>
          <w:szCs w:val="24"/>
        </w:rPr>
        <w:t>7.</w:t>
      </w:r>
      <w:r>
        <w:rPr>
          <w:rFonts w:hint="eastAsia" w:ascii="宋体" w:hAnsi="宋体"/>
          <w:b/>
          <w:color w:val="000000"/>
          <w:sz w:val="24"/>
          <w:szCs w:val="24"/>
        </w:rPr>
        <w:t>行政管理学</w:t>
      </w:r>
      <w:r>
        <w:rPr>
          <w:rFonts w:ascii="宋体" w:hAnsi="宋体"/>
          <w:b/>
          <w:color w:val="000000"/>
          <w:sz w:val="24"/>
          <w:szCs w:val="24"/>
        </w:rPr>
        <w:t>(1103061</w:t>
      </w:r>
      <w:r>
        <w:rPr>
          <w:rFonts w:hint="eastAsia" w:ascii="宋体" w:hAnsi="宋体"/>
          <w:b/>
          <w:color w:val="000000"/>
          <w:sz w:val="24"/>
          <w:szCs w:val="24"/>
          <w:lang w:val="en-US" w:eastAsia="zh-CN"/>
        </w:rPr>
        <w:t>6</w:t>
      </w:r>
      <w:r>
        <w:rPr>
          <w:rFonts w:ascii="宋体" w:hAnsi="宋体"/>
          <w:b/>
          <w:color w:val="000000"/>
          <w:sz w:val="24"/>
          <w:szCs w:val="24"/>
        </w:rPr>
        <w:t>10)  4</w:t>
      </w:r>
      <w:r>
        <w:rPr>
          <w:rFonts w:hint="eastAsia" w:ascii="宋体" w:hAnsi="宋体"/>
          <w:b/>
          <w:color w:val="000000"/>
          <w:sz w:val="24"/>
          <w:szCs w:val="24"/>
        </w:rPr>
        <w:t>学分</w:t>
      </w:r>
    </w:p>
    <w:p>
      <w:pPr>
        <w:spacing w:line="400" w:lineRule="exact"/>
        <w:ind w:firstLine="480" w:firstLineChars="200"/>
        <w:jc w:val="left"/>
        <w:rPr>
          <w:rFonts w:ascii="宋体"/>
          <w:color w:val="000000"/>
          <w:sz w:val="24"/>
          <w:szCs w:val="24"/>
        </w:rPr>
      </w:pPr>
      <w:r>
        <w:rPr>
          <w:rFonts w:hint="eastAsia" w:ascii="宋体" w:hAnsi="宋体" w:cs="宋体"/>
          <w:sz w:val="24"/>
          <w:szCs w:val="24"/>
        </w:rPr>
        <w:t>设置本课程的目的：</w:t>
      </w:r>
      <w:r>
        <w:rPr>
          <w:rFonts w:hint="eastAsia" w:ascii="宋体" w:hAnsi="宋体" w:cs="宋体"/>
          <w:color w:val="000000"/>
          <w:sz w:val="24"/>
          <w:szCs w:val="24"/>
        </w:rPr>
        <w:t>通过教学使学生了解和掌握行政管理学的基本理论和方法，提高学生行政管理和政务管理的水平和能力。</w:t>
      </w:r>
    </w:p>
    <w:p>
      <w:pPr>
        <w:spacing w:line="400" w:lineRule="exact"/>
        <w:ind w:firstLine="480" w:firstLineChars="200"/>
        <w:jc w:val="left"/>
        <w:rPr>
          <w:rFonts w:ascii="宋体"/>
          <w:kern w:val="0"/>
          <w:sz w:val="24"/>
          <w:szCs w:val="24"/>
        </w:rPr>
      </w:pPr>
      <w:r>
        <w:rPr>
          <w:rFonts w:hint="eastAsia" w:ascii="宋体" w:hAnsi="宋体" w:cs="宋体"/>
          <w:sz w:val="24"/>
          <w:szCs w:val="24"/>
        </w:rPr>
        <w:t>本课程的主要内容：</w:t>
      </w:r>
      <w:r>
        <w:rPr>
          <w:rFonts w:hint="eastAsia" w:ascii="宋体" w:hAnsi="宋体" w:cs="宋体"/>
          <w:kern w:val="0"/>
          <w:sz w:val="24"/>
          <w:szCs w:val="24"/>
        </w:rPr>
        <w:t>行政的历史与发展、行政的基本理论与制度设计、行政的运作过程、行政的行为选择。</w:t>
      </w:r>
    </w:p>
    <w:p>
      <w:pPr>
        <w:spacing w:line="400" w:lineRule="exact"/>
        <w:ind w:left="482"/>
        <w:jc w:val="left"/>
        <w:rPr>
          <w:rFonts w:ascii="宋体"/>
          <w:color w:val="000000"/>
          <w:sz w:val="24"/>
          <w:szCs w:val="24"/>
        </w:rPr>
      </w:pPr>
      <w:r>
        <w:rPr>
          <w:rFonts w:ascii="宋体" w:hAnsi="宋体"/>
          <w:b/>
          <w:color w:val="000000"/>
          <w:sz w:val="24"/>
          <w:szCs w:val="24"/>
        </w:rPr>
        <w:t>8.</w:t>
      </w:r>
      <w:r>
        <w:rPr>
          <w:rFonts w:hint="eastAsia" w:ascii="宋体" w:hAnsi="宋体"/>
          <w:b/>
          <w:color w:val="000000"/>
          <w:sz w:val="24"/>
          <w:szCs w:val="24"/>
        </w:rPr>
        <w:t>公共政策学（</w:t>
      </w:r>
      <w:r>
        <w:rPr>
          <w:rFonts w:ascii="宋体" w:hAnsi="宋体"/>
          <w:b/>
          <w:color w:val="000000"/>
          <w:sz w:val="24"/>
          <w:szCs w:val="24"/>
        </w:rPr>
        <w:t>1103061</w:t>
      </w:r>
      <w:r>
        <w:rPr>
          <w:rFonts w:hint="eastAsia" w:ascii="宋体" w:hAnsi="宋体"/>
          <w:b/>
          <w:color w:val="000000"/>
          <w:sz w:val="24"/>
          <w:szCs w:val="24"/>
          <w:lang w:val="en-US" w:eastAsia="zh-CN"/>
        </w:rPr>
        <w:t>6</w:t>
      </w:r>
      <w:r>
        <w:rPr>
          <w:rFonts w:ascii="宋体" w:hAnsi="宋体"/>
          <w:b/>
          <w:color w:val="000000"/>
          <w:sz w:val="24"/>
          <w:szCs w:val="24"/>
        </w:rPr>
        <w:t>1</w:t>
      </w:r>
      <w:r>
        <w:rPr>
          <w:rFonts w:hint="eastAsia" w:ascii="宋体" w:hAnsi="宋体"/>
          <w:b/>
          <w:color w:val="000000"/>
          <w:sz w:val="24"/>
          <w:szCs w:val="24"/>
          <w:lang w:val="en-US" w:eastAsia="zh-CN"/>
        </w:rPr>
        <w:t>8</w:t>
      </w:r>
      <w:r>
        <w:rPr>
          <w:rFonts w:hint="eastAsia" w:ascii="宋体" w:hAnsi="宋体"/>
          <w:b/>
          <w:color w:val="000000"/>
          <w:sz w:val="24"/>
          <w:szCs w:val="24"/>
        </w:rPr>
        <w:t>）</w:t>
      </w:r>
      <w:r>
        <w:rPr>
          <w:rFonts w:ascii="宋体" w:hAnsi="宋体"/>
          <w:b/>
          <w:color w:val="000000"/>
          <w:sz w:val="24"/>
          <w:szCs w:val="24"/>
        </w:rPr>
        <w:t xml:space="preserve">  4</w:t>
      </w:r>
      <w:r>
        <w:rPr>
          <w:rFonts w:hint="eastAsia" w:ascii="宋体" w:hAnsi="宋体"/>
          <w:b/>
          <w:color w:val="000000"/>
          <w:sz w:val="24"/>
          <w:szCs w:val="24"/>
        </w:rPr>
        <w:t>学分</w:t>
      </w:r>
    </w:p>
    <w:p>
      <w:pPr>
        <w:spacing w:line="400" w:lineRule="exact"/>
        <w:ind w:firstLine="480" w:firstLineChars="200"/>
        <w:jc w:val="left"/>
        <w:rPr>
          <w:rFonts w:ascii="宋体"/>
          <w:sz w:val="24"/>
          <w:szCs w:val="24"/>
        </w:rPr>
      </w:pPr>
      <w:r>
        <w:rPr>
          <w:rFonts w:hint="eastAsia" w:ascii="宋体" w:hAnsi="宋体" w:cs="宋体"/>
          <w:sz w:val="24"/>
          <w:szCs w:val="24"/>
        </w:rPr>
        <w:t>设置本课程的目的：</w:t>
      </w:r>
      <w:r>
        <w:rPr>
          <w:rFonts w:hint="eastAsia" w:ascii="宋体" w:hAnsi="宋体" w:cs="宋体"/>
          <w:color w:val="000000"/>
          <w:sz w:val="24"/>
          <w:szCs w:val="24"/>
        </w:rPr>
        <w:t>通过教学使学生</w:t>
      </w:r>
      <w:r>
        <w:rPr>
          <w:rFonts w:hint="eastAsia" w:ascii="宋体" w:hAnsi="宋体" w:cs="宋体"/>
          <w:sz w:val="24"/>
          <w:szCs w:val="24"/>
        </w:rPr>
        <w:t>系统掌握政策科学理论，把握公共政策的发展规律；自觉遵守和执行各项正确的公共政策；掌握公共政策决策、执行、评估和分析的具体步骤和科学方法。</w:t>
      </w:r>
    </w:p>
    <w:p>
      <w:pPr>
        <w:spacing w:line="400" w:lineRule="exact"/>
        <w:ind w:firstLine="480" w:firstLineChars="200"/>
        <w:jc w:val="left"/>
        <w:rPr>
          <w:rFonts w:ascii="宋体"/>
          <w:kern w:val="0"/>
          <w:sz w:val="24"/>
          <w:szCs w:val="24"/>
        </w:rPr>
      </w:pPr>
      <w:r>
        <w:rPr>
          <w:rFonts w:hint="eastAsia" w:ascii="宋体" w:hAnsi="宋体" w:cs="宋体"/>
          <w:sz w:val="24"/>
          <w:szCs w:val="24"/>
        </w:rPr>
        <w:t>本课程的主要内容：</w:t>
      </w:r>
      <w:r>
        <w:rPr>
          <w:rFonts w:hint="eastAsia" w:ascii="宋体" w:hAnsi="宋体" w:cs="宋体"/>
          <w:kern w:val="0"/>
          <w:sz w:val="24"/>
          <w:szCs w:val="24"/>
        </w:rPr>
        <w:t>公共政策的定义、特性、类别及功能，政策科学产生的历史特点及发展趋势，公共政策与政府、环境、公共利益的关系；一般的政策过程；政策分析的基本方法。</w:t>
      </w:r>
    </w:p>
    <w:p>
      <w:pPr>
        <w:pStyle w:val="2"/>
        <w:spacing w:line="400" w:lineRule="exact"/>
        <w:rPr>
          <w:b/>
          <w:bCs/>
          <w:sz w:val="24"/>
          <w:szCs w:val="24"/>
        </w:rPr>
      </w:pPr>
      <w:r>
        <w:rPr>
          <w:rFonts w:hint="eastAsia" w:ascii="黑体" w:hAnsi="宋体" w:eastAsia="黑体" w:cs="Courier New"/>
          <w:sz w:val="28"/>
          <w:szCs w:val="28"/>
        </w:rPr>
        <w:t>七、课程结构和教学计划进程</w:t>
      </w:r>
    </w:p>
    <w:p>
      <w:pPr>
        <w:spacing w:line="400" w:lineRule="exact"/>
        <w:ind w:firstLine="480"/>
        <w:rPr>
          <w:rFonts w:ascii="宋体"/>
          <w:sz w:val="24"/>
          <w:szCs w:val="24"/>
        </w:rPr>
      </w:pPr>
      <w:r>
        <w:rPr>
          <w:rFonts w:hint="eastAsia" w:ascii="宋体" w:hAnsi="宋体" w:cs="宋体"/>
          <w:sz w:val="24"/>
          <w:szCs w:val="24"/>
        </w:rPr>
        <w:t>课程结构比例见附表</w:t>
      </w:r>
      <w:r>
        <w:rPr>
          <w:rFonts w:ascii="宋体" w:hAnsi="宋体" w:cs="宋体"/>
          <w:sz w:val="24"/>
          <w:szCs w:val="24"/>
        </w:rPr>
        <w:t>2</w:t>
      </w:r>
      <w:r>
        <w:rPr>
          <w:rFonts w:hint="eastAsia" w:ascii="宋体" w:hAnsi="宋体" w:cs="宋体"/>
          <w:sz w:val="24"/>
          <w:szCs w:val="24"/>
        </w:rPr>
        <w:t>，教学计划进程见附表</w:t>
      </w:r>
      <w:r>
        <w:rPr>
          <w:rFonts w:ascii="宋体" w:hAnsi="宋体" w:cs="宋体"/>
          <w:sz w:val="24"/>
          <w:szCs w:val="24"/>
        </w:rPr>
        <w:t>3</w:t>
      </w:r>
    </w:p>
    <w:p>
      <w:pPr>
        <w:spacing w:line="400" w:lineRule="exact"/>
        <w:ind w:firstLine="480"/>
        <w:rPr>
          <w:rFonts w:hint="eastAsia" w:ascii="方正楷体_GBK" w:eastAsia="方正楷体_GBK" w:cs="方正楷体_GBK"/>
        </w:rPr>
      </w:pPr>
    </w:p>
    <w:p>
      <w:pPr>
        <w:spacing w:line="400" w:lineRule="exact"/>
        <w:ind w:firstLine="480"/>
        <w:rPr>
          <w:rFonts w:hint="eastAsia" w:ascii="方正楷体_GBK" w:eastAsia="方正楷体_GBK" w:cs="方正楷体_GBK"/>
        </w:rPr>
      </w:pPr>
    </w:p>
    <w:p>
      <w:pPr>
        <w:spacing w:line="400" w:lineRule="exact"/>
        <w:ind w:firstLine="480"/>
        <w:rPr>
          <w:rFonts w:hint="eastAsia" w:ascii="方正楷体_GBK" w:eastAsia="方正楷体_GBK" w:cs="方正楷体_GBK"/>
        </w:rPr>
      </w:pPr>
    </w:p>
    <w:p>
      <w:pPr>
        <w:spacing w:line="400" w:lineRule="exact"/>
        <w:ind w:firstLine="480"/>
        <w:rPr>
          <w:rFonts w:hint="eastAsia" w:ascii="方正楷体_GBK" w:eastAsia="方正楷体_GBK" w:cs="方正楷体_GBK"/>
        </w:rPr>
      </w:pPr>
    </w:p>
    <w:p>
      <w:pPr>
        <w:spacing w:line="400" w:lineRule="exact"/>
        <w:ind w:firstLine="480"/>
        <w:rPr>
          <w:rFonts w:hint="eastAsia" w:ascii="方正楷体_GBK" w:eastAsia="方正楷体_GBK" w:cs="方正楷体_GBK"/>
        </w:rPr>
      </w:pPr>
    </w:p>
    <w:p>
      <w:pPr>
        <w:spacing w:line="400" w:lineRule="exact"/>
        <w:ind w:firstLine="480"/>
        <w:rPr>
          <w:rFonts w:hint="eastAsia" w:ascii="方正楷体_GBK" w:eastAsia="方正楷体_GBK" w:cs="方正楷体_GBK"/>
        </w:rPr>
      </w:pPr>
    </w:p>
    <w:p>
      <w:pPr>
        <w:spacing w:line="400" w:lineRule="exact"/>
        <w:ind w:firstLine="480"/>
        <w:rPr>
          <w:rFonts w:hint="eastAsia" w:ascii="方正楷体_GBK" w:eastAsia="方正楷体_GBK" w:cs="方正楷体_GBK"/>
        </w:rPr>
      </w:pPr>
    </w:p>
    <w:p>
      <w:pPr>
        <w:spacing w:line="400" w:lineRule="exact"/>
        <w:ind w:firstLine="480"/>
        <w:rPr>
          <w:rFonts w:hint="eastAsia" w:ascii="方正楷体_GBK" w:eastAsia="方正楷体_GBK" w:cs="方正楷体_GBK"/>
        </w:rPr>
      </w:pPr>
    </w:p>
    <w:p>
      <w:pPr>
        <w:spacing w:line="400" w:lineRule="exact"/>
        <w:ind w:firstLine="480"/>
        <w:rPr>
          <w:rFonts w:hint="eastAsia" w:ascii="方正楷体_GBK" w:eastAsia="方正楷体_GBK" w:cs="方正楷体_GBK"/>
        </w:rPr>
      </w:pPr>
    </w:p>
    <w:p>
      <w:pPr>
        <w:spacing w:line="400" w:lineRule="exact"/>
        <w:ind w:firstLine="480"/>
        <w:rPr>
          <w:rFonts w:hint="eastAsia" w:ascii="方正楷体_GBK" w:eastAsia="方正楷体_GBK" w:cs="方正楷体_GBK"/>
        </w:rPr>
      </w:pPr>
    </w:p>
    <w:p>
      <w:pPr>
        <w:spacing w:line="400" w:lineRule="exact"/>
        <w:ind w:firstLine="480"/>
        <w:rPr>
          <w:rFonts w:hint="eastAsia" w:ascii="方正楷体_GBK" w:eastAsia="方正楷体_GBK" w:cs="方正楷体_GBK"/>
        </w:rPr>
      </w:pPr>
    </w:p>
    <w:p>
      <w:pPr>
        <w:spacing w:line="400" w:lineRule="exact"/>
        <w:ind w:firstLine="480"/>
        <w:rPr>
          <w:rFonts w:hint="eastAsia" w:ascii="方正楷体_GBK" w:eastAsia="方正楷体_GBK" w:cs="方正楷体_GBK"/>
        </w:rPr>
      </w:pPr>
    </w:p>
    <w:p>
      <w:pPr>
        <w:spacing w:line="400" w:lineRule="exact"/>
        <w:ind w:firstLine="480"/>
        <w:rPr>
          <w:rFonts w:ascii="宋体"/>
          <w:sz w:val="24"/>
          <w:szCs w:val="24"/>
        </w:rPr>
      </w:pPr>
      <w:r>
        <w:rPr>
          <w:rFonts w:hint="eastAsia" w:ascii="方正楷体_GBK" w:eastAsia="方正楷体_GBK" w:cs="方正楷体_GBK"/>
        </w:rPr>
        <w:t>附表</w:t>
      </w:r>
      <w:r>
        <w:rPr>
          <w:rFonts w:ascii="方正楷体_GBK" w:eastAsia="方正楷体_GBK" w:cs="方正楷体_GBK"/>
        </w:rPr>
        <w:t>2</w:t>
      </w:r>
      <w:r>
        <w:rPr>
          <w:rFonts w:hint="eastAsia" w:ascii="方正楷体_GBK" w:eastAsia="方正楷体_GBK" w:cs="方正楷体_GBK"/>
        </w:rPr>
        <w:t>：</w:t>
      </w:r>
      <w:r>
        <w:rPr>
          <w:rFonts w:ascii="方正楷体_GBK" w:eastAsia="方正楷体_GBK" w:cs="方正楷体_GBK"/>
        </w:rPr>
        <w:t xml:space="preserve"> </w:t>
      </w:r>
    </w:p>
    <w:p>
      <w:pPr>
        <w:pStyle w:val="2"/>
        <w:spacing w:before="40" w:after="40" w:line="500" w:lineRule="exact"/>
        <w:ind w:right="-334" w:rightChars="-159"/>
        <w:jc w:val="center"/>
        <w:rPr>
          <w:rFonts w:cs="Times New Roman"/>
          <w:b/>
          <w:bCs/>
          <w:sz w:val="30"/>
          <w:szCs w:val="30"/>
        </w:rPr>
      </w:pPr>
      <w:r>
        <w:rPr>
          <w:rFonts w:hint="eastAsia"/>
          <w:b/>
          <w:bCs/>
          <w:sz w:val="30"/>
          <w:szCs w:val="30"/>
        </w:rPr>
        <w:t>行政管理专业课程结构比例一览表</w:t>
      </w: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900"/>
        <w:gridCol w:w="1067"/>
        <w:gridCol w:w="1472"/>
        <w:gridCol w:w="926"/>
        <w:gridCol w:w="889"/>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03"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spacing w:val="15"/>
                <w:kern w:val="0"/>
              </w:rPr>
            </w:pPr>
            <w:r>
              <w:rPr>
                <w:rFonts w:hint="eastAsia" w:ascii="宋体" w:hAnsi="宋体" w:cs="宋体"/>
                <w:b/>
                <w:bCs/>
                <w:kern w:val="0"/>
              </w:rPr>
              <w:t>课程类别</w:t>
            </w:r>
          </w:p>
        </w:tc>
        <w:tc>
          <w:tcPr>
            <w:tcW w:w="7069" w:type="dxa"/>
            <w:gridSpan w:val="6"/>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spacing w:val="15"/>
                <w:kern w:val="0"/>
              </w:rPr>
            </w:pPr>
            <w:r>
              <w:rPr>
                <w:rFonts w:hint="eastAsia" w:ascii="宋体" w:hAnsi="宋体" w:cs="宋体"/>
                <w:b/>
                <w:bCs/>
                <w:kern w:val="0"/>
              </w:rPr>
              <w:t>学分、学时比例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pacing w:val="15"/>
                <w:kern w:val="0"/>
              </w:rPr>
            </w:pPr>
          </w:p>
        </w:tc>
        <w:tc>
          <w:tcPr>
            <w:tcW w:w="1967" w:type="dxa"/>
            <w:gridSpan w:val="2"/>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spacing w:val="15"/>
                <w:kern w:val="0"/>
              </w:rPr>
            </w:pPr>
            <w:r>
              <w:rPr>
                <w:rFonts w:hint="eastAsia" w:ascii="宋体" w:hAnsi="宋体" w:cs="宋体"/>
                <w:b/>
                <w:bCs/>
                <w:kern w:val="0"/>
              </w:rPr>
              <w:t>学</w:t>
            </w:r>
            <w:r>
              <w:rPr>
                <w:rFonts w:ascii="宋体" w:hAnsi="宋体" w:cs="宋体"/>
                <w:b/>
                <w:bCs/>
                <w:kern w:val="0"/>
              </w:rPr>
              <w:t xml:space="preserve">   </w:t>
            </w:r>
            <w:r>
              <w:rPr>
                <w:rFonts w:hint="eastAsia" w:ascii="宋体" w:hAnsi="宋体" w:cs="宋体"/>
                <w:b/>
                <w:bCs/>
                <w:kern w:val="0"/>
              </w:rPr>
              <w:t>分</w:t>
            </w:r>
          </w:p>
        </w:tc>
        <w:tc>
          <w:tcPr>
            <w:tcW w:w="1472"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spacing w:val="15"/>
                <w:kern w:val="0"/>
              </w:rPr>
            </w:pPr>
            <w:r>
              <w:rPr>
                <w:rFonts w:hint="eastAsia" w:ascii="宋体" w:hAnsi="宋体" w:cs="宋体"/>
                <w:b/>
                <w:bCs/>
                <w:kern w:val="0"/>
              </w:rPr>
              <w:t>学分比例</w:t>
            </w:r>
            <w:r>
              <w:rPr>
                <w:rFonts w:ascii="宋体" w:hAnsi="宋体" w:cs="宋体"/>
                <w:b/>
                <w:bCs/>
                <w:kern w:val="0"/>
              </w:rPr>
              <w:t>(%)</w:t>
            </w:r>
          </w:p>
        </w:tc>
        <w:tc>
          <w:tcPr>
            <w:tcW w:w="1815" w:type="dxa"/>
            <w:gridSpan w:val="2"/>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spacing w:val="15"/>
                <w:kern w:val="0"/>
              </w:rPr>
            </w:pPr>
            <w:r>
              <w:rPr>
                <w:rFonts w:hint="eastAsia" w:ascii="宋体" w:hAnsi="宋体" w:cs="宋体"/>
                <w:b/>
                <w:bCs/>
                <w:kern w:val="0"/>
              </w:rPr>
              <w:t>学</w:t>
            </w:r>
            <w:r>
              <w:rPr>
                <w:rFonts w:ascii="宋体" w:hAnsi="宋体" w:cs="宋体"/>
                <w:b/>
                <w:bCs/>
                <w:kern w:val="0"/>
              </w:rPr>
              <w:t xml:space="preserve">   </w:t>
            </w:r>
            <w:r>
              <w:rPr>
                <w:rFonts w:hint="eastAsia" w:ascii="宋体" w:hAnsi="宋体" w:cs="宋体"/>
                <w:b/>
                <w:bCs/>
                <w:kern w:val="0"/>
              </w:rPr>
              <w:t>时</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b/>
                <w:bCs/>
                <w:kern w:val="0"/>
              </w:rPr>
            </w:pPr>
            <w:r>
              <w:rPr>
                <w:rFonts w:hint="eastAsia" w:ascii="宋体" w:hAnsi="宋体" w:cs="宋体"/>
                <w:b/>
                <w:bCs/>
                <w:kern w:val="0"/>
              </w:rPr>
              <w:t>学时比例</w:t>
            </w:r>
            <w:r>
              <w:rPr>
                <w:rFonts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pacing w:val="15"/>
                <w:kern w:val="0"/>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line="460" w:lineRule="exact"/>
              <w:jc w:val="center"/>
              <w:rPr>
                <w:rFonts w:ascii="宋体"/>
                <w:b/>
                <w:bCs/>
                <w:kern w:val="0"/>
              </w:rPr>
            </w:pPr>
            <w:r>
              <w:rPr>
                <w:rFonts w:hint="eastAsia" w:ascii="宋体" w:hAnsi="宋体" w:cs="宋体"/>
                <w:b/>
                <w:bCs/>
                <w:kern w:val="0"/>
              </w:rPr>
              <w:t>理论</w:t>
            </w:r>
          </w:p>
        </w:tc>
        <w:tc>
          <w:tcPr>
            <w:tcW w:w="1067" w:type="dxa"/>
            <w:tcBorders>
              <w:top w:val="single" w:color="auto" w:sz="4" w:space="0"/>
              <w:left w:val="single" w:color="auto" w:sz="4" w:space="0"/>
              <w:bottom w:val="single" w:color="auto" w:sz="4" w:space="0"/>
              <w:right w:val="single" w:color="auto" w:sz="4" w:space="0"/>
            </w:tcBorders>
            <w:vAlign w:val="top"/>
          </w:tcPr>
          <w:p>
            <w:pPr>
              <w:snapToGrid w:val="0"/>
              <w:spacing w:line="460" w:lineRule="exact"/>
              <w:jc w:val="center"/>
              <w:rPr>
                <w:rFonts w:ascii="宋体"/>
                <w:b/>
                <w:bCs/>
                <w:kern w:val="0"/>
              </w:rPr>
            </w:pPr>
            <w:r>
              <w:rPr>
                <w:rFonts w:hint="eastAsia" w:ascii="宋体" w:hAnsi="宋体" w:cs="宋体"/>
                <w:b/>
                <w:bCs/>
                <w:kern w:val="0"/>
              </w:rPr>
              <w:t>实践</w:t>
            </w:r>
          </w:p>
        </w:tc>
        <w:tc>
          <w:tcPr>
            <w:tcW w:w="14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pacing w:val="15"/>
                <w:kern w:val="0"/>
              </w:rPr>
            </w:pPr>
          </w:p>
        </w:tc>
        <w:tc>
          <w:tcPr>
            <w:tcW w:w="926" w:type="dxa"/>
            <w:tcBorders>
              <w:top w:val="single" w:color="auto" w:sz="4" w:space="0"/>
              <w:left w:val="single" w:color="auto" w:sz="4" w:space="0"/>
              <w:bottom w:val="single" w:color="auto" w:sz="4" w:space="0"/>
              <w:right w:val="single" w:color="auto" w:sz="4" w:space="0"/>
            </w:tcBorders>
            <w:vAlign w:val="top"/>
          </w:tcPr>
          <w:p>
            <w:pPr>
              <w:snapToGrid w:val="0"/>
              <w:spacing w:line="460" w:lineRule="exact"/>
              <w:jc w:val="center"/>
              <w:rPr>
                <w:rFonts w:ascii="宋体"/>
                <w:b/>
                <w:bCs/>
                <w:kern w:val="0"/>
              </w:rPr>
            </w:pPr>
            <w:r>
              <w:rPr>
                <w:rFonts w:hint="eastAsia" w:ascii="宋体" w:hAnsi="宋体" w:cs="宋体"/>
                <w:b/>
                <w:bCs/>
                <w:kern w:val="0"/>
              </w:rPr>
              <w:t>理论</w:t>
            </w:r>
          </w:p>
        </w:tc>
        <w:tc>
          <w:tcPr>
            <w:tcW w:w="889" w:type="dxa"/>
            <w:tcBorders>
              <w:top w:val="single" w:color="auto" w:sz="4" w:space="0"/>
              <w:left w:val="single" w:color="auto" w:sz="4" w:space="0"/>
              <w:bottom w:val="single" w:color="auto" w:sz="4" w:space="0"/>
              <w:right w:val="single" w:color="auto" w:sz="4" w:space="0"/>
            </w:tcBorders>
            <w:vAlign w:val="top"/>
          </w:tcPr>
          <w:p>
            <w:pPr>
              <w:snapToGrid w:val="0"/>
              <w:spacing w:line="460" w:lineRule="exact"/>
              <w:jc w:val="center"/>
              <w:rPr>
                <w:rFonts w:ascii="宋体"/>
                <w:b/>
                <w:bCs/>
                <w:kern w:val="0"/>
              </w:rPr>
            </w:pPr>
            <w:r>
              <w:rPr>
                <w:rFonts w:hint="eastAsia" w:ascii="宋体" w:hAnsi="宋体" w:cs="宋体"/>
                <w:b/>
                <w:bCs/>
                <w:kern w:val="0"/>
              </w:rPr>
              <w:t>实践</w:t>
            </w: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spacing w:val="15"/>
                <w:kern w:val="0"/>
              </w:rPr>
            </w:pPr>
            <w:r>
              <w:rPr>
                <w:rFonts w:hint="eastAsia" w:ascii="宋体" w:hAnsi="宋体" w:cs="宋体"/>
                <w:b/>
                <w:bCs/>
                <w:kern w:val="0"/>
              </w:rPr>
              <w:t>通识教育课程</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ascii="仿宋_GB2312" w:hAnsi="宋体" w:eastAsia="仿宋_GB2312"/>
                <w:color w:val="000000"/>
                <w:spacing w:val="15"/>
                <w:kern w:val="0"/>
              </w:rPr>
            </w:pPr>
            <w:r>
              <w:rPr>
                <w:rFonts w:ascii="仿宋_GB2312" w:hAnsi="宋体" w:eastAsia="仿宋_GB2312" w:cs="仿宋_GB2312"/>
                <w:color w:val="000000"/>
                <w:spacing w:val="15"/>
                <w:kern w:val="0"/>
              </w:rPr>
              <w:t>44</w:t>
            </w:r>
          </w:p>
        </w:tc>
        <w:tc>
          <w:tcPr>
            <w:tcW w:w="1067"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ascii="仿宋_GB2312" w:hAnsi="宋体" w:eastAsia="仿宋_GB2312"/>
                <w:color w:val="000000"/>
                <w:spacing w:val="15"/>
                <w:kern w:val="0"/>
              </w:rPr>
            </w:pPr>
            <w:r>
              <w:rPr>
                <w:rFonts w:ascii="仿宋_GB2312" w:hAnsi="宋体" w:eastAsia="仿宋_GB2312" w:cs="仿宋_GB2312"/>
                <w:color w:val="000000"/>
                <w:spacing w:val="15"/>
                <w:kern w:val="0"/>
              </w:rPr>
              <w:t>15</w:t>
            </w:r>
          </w:p>
        </w:tc>
        <w:tc>
          <w:tcPr>
            <w:tcW w:w="147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rPr>
            </w:pPr>
            <w:r>
              <w:rPr>
                <w:rFonts w:ascii="仿宋_GB2312" w:hAnsi="宋体" w:eastAsia="仿宋_GB2312" w:cs="仿宋_GB2312"/>
              </w:rPr>
              <w:t>34.7</w:t>
            </w:r>
          </w:p>
        </w:tc>
        <w:tc>
          <w:tcPr>
            <w:tcW w:w="926"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ascii="仿宋_GB2312" w:hAnsi="宋体" w:eastAsia="仿宋_GB2312" w:cs="仿宋_GB2312"/>
                <w:spacing w:val="15"/>
                <w:kern w:val="0"/>
              </w:rPr>
            </w:pPr>
            <w:r>
              <w:rPr>
                <w:rFonts w:ascii="仿宋_GB2312" w:hAnsi="宋体" w:eastAsia="仿宋_GB2312" w:cs="仿宋_GB2312"/>
                <w:spacing w:val="15"/>
                <w:kern w:val="0"/>
              </w:rPr>
              <w:t>698</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ascii="仿宋_GB2312" w:hAnsi="宋体" w:eastAsia="仿宋_GB2312"/>
                <w:spacing w:val="15"/>
                <w:kern w:val="0"/>
              </w:rPr>
            </w:pPr>
            <w:r>
              <w:rPr>
                <w:rFonts w:ascii="仿宋_GB2312" w:hAnsi="宋体" w:eastAsia="仿宋_GB2312" w:cs="仿宋_GB2312"/>
                <w:spacing w:val="15"/>
                <w:kern w:val="0"/>
              </w:rPr>
              <w:t>274</w:t>
            </w:r>
          </w:p>
        </w:tc>
        <w:tc>
          <w:tcPr>
            <w:tcW w:w="181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rPr>
            </w:pPr>
            <w:r>
              <w:rPr>
                <w:rFonts w:hint="eastAsia" w:ascii="仿宋_GB2312" w:hAnsi="宋体" w:eastAsia="仿宋_GB2312" w:cs="宋体"/>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rPr>
                <w:rFonts w:ascii="宋体"/>
                <w:spacing w:val="15"/>
                <w:kern w:val="0"/>
              </w:rPr>
            </w:pPr>
            <w:r>
              <w:rPr>
                <w:rFonts w:hint="eastAsia" w:ascii="宋体" w:hAnsi="宋体" w:cs="宋体"/>
                <w:b/>
                <w:bCs/>
                <w:kern w:val="0"/>
              </w:rPr>
              <w:t>学科专业基础课程</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hint="eastAsia" w:ascii="仿宋_GB2312" w:hAnsi="宋体" w:eastAsia="仿宋_GB2312"/>
                <w:spacing w:val="15"/>
                <w:kern w:val="0"/>
              </w:rPr>
            </w:pPr>
            <w:r>
              <w:rPr>
                <w:rFonts w:hint="eastAsia" w:ascii="仿宋_GB2312" w:hAnsi="宋体" w:eastAsia="仿宋_GB2312" w:cs="仿宋_GB2312"/>
                <w:spacing w:val="15"/>
                <w:kern w:val="0"/>
              </w:rPr>
              <w:t>16.5</w:t>
            </w:r>
          </w:p>
        </w:tc>
        <w:tc>
          <w:tcPr>
            <w:tcW w:w="1067"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ind w:firstLine="240" w:firstLineChars="100"/>
              <w:rPr>
                <w:rFonts w:hint="eastAsia" w:ascii="仿宋_GB2312" w:hAnsi="宋体" w:eastAsia="仿宋_GB2312"/>
                <w:spacing w:val="15"/>
                <w:kern w:val="0"/>
              </w:rPr>
            </w:pPr>
            <w:r>
              <w:rPr>
                <w:rFonts w:hint="eastAsia" w:ascii="仿宋_GB2312" w:hAnsi="宋体" w:eastAsia="仿宋_GB2312" w:cs="仿宋_GB2312"/>
                <w:spacing w:val="15"/>
                <w:kern w:val="0"/>
              </w:rPr>
              <w:t>3.5</w:t>
            </w:r>
          </w:p>
        </w:tc>
        <w:tc>
          <w:tcPr>
            <w:tcW w:w="147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rPr>
            </w:pPr>
            <w:r>
              <w:rPr>
                <w:rFonts w:hint="eastAsia" w:ascii="仿宋_GB2312" w:hAnsi="宋体" w:eastAsia="仿宋_GB2312" w:cs="仿宋_GB2312"/>
              </w:rPr>
              <w:t>11.2</w:t>
            </w:r>
          </w:p>
        </w:tc>
        <w:tc>
          <w:tcPr>
            <w:tcW w:w="926"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hint="eastAsia" w:ascii="仿宋_GB2312" w:hAnsi="宋体" w:eastAsia="仿宋_GB2312"/>
                <w:color w:val="000000"/>
                <w:spacing w:val="15"/>
                <w:kern w:val="0"/>
              </w:rPr>
            </w:pPr>
            <w:r>
              <w:rPr>
                <w:rFonts w:hint="eastAsia" w:ascii="仿宋_GB2312" w:hAnsi="宋体" w:eastAsia="仿宋_GB2312" w:cs="仿宋_GB2312"/>
                <w:color w:val="000000"/>
                <w:spacing w:val="15"/>
                <w:kern w:val="0"/>
              </w:rPr>
              <w:t>2</w:t>
            </w:r>
            <w:r>
              <w:rPr>
                <w:rFonts w:hint="eastAsia" w:ascii="仿宋_GB2312" w:hAnsi="宋体" w:eastAsia="仿宋_GB2312" w:cs="仿宋_GB2312"/>
                <w:color w:val="000000"/>
                <w:spacing w:val="15"/>
                <w:kern w:val="0"/>
                <w:lang w:val="en-US" w:eastAsia="zh-CN"/>
              </w:rPr>
              <w:t>80</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hint="eastAsia" w:ascii="仿宋_GB2312" w:hAnsi="宋体" w:eastAsia="仿宋_GB2312"/>
                <w:color w:val="000000"/>
                <w:spacing w:val="15"/>
                <w:kern w:val="0"/>
              </w:rPr>
            </w:pPr>
            <w:r>
              <w:rPr>
                <w:rFonts w:hint="eastAsia" w:ascii="仿宋_GB2312" w:hAnsi="宋体" w:eastAsia="仿宋_GB2312" w:cs="仿宋_GB2312"/>
                <w:color w:val="000000"/>
                <w:spacing w:val="15"/>
                <w:kern w:val="0"/>
                <w:lang w:val="en-US" w:eastAsia="zh-CN"/>
              </w:rPr>
              <w:t>6</w:t>
            </w:r>
            <w:r>
              <w:rPr>
                <w:rFonts w:hint="eastAsia" w:ascii="仿宋_GB2312" w:hAnsi="宋体" w:eastAsia="仿宋_GB2312" w:cs="仿宋_GB2312"/>
                <w:color w:val="000000"/>
                <w:spacing w:val="15"/>
                <w:kern w:val="0"/>
              </w:rPr>
              <w:t>9</w:t>
            </w:r>
          </w:p>
        </w:tc>
        <w:tc>
          <w:tcPr>
            <w:tcW w:w="181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rPr>
            </w:pPr>
            <w:r>
              <w:rPr>
                <w:rFonts w:hint="eastAsia" w:ascii="仿宋_GB2312" w:eastAsia="仿宋_GB231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spacing w:val="15"/>
                <w:kern w:val="0"/>
              </w:rPr>
            </w:pPr>
            <w:r>
              <w:rPr>
                <w:rFonts w:hint="eastAsia" w:ascii="宋体" w:hAnsi="宋体" w:cs="宋体"/>
                <w:b/>
                <w:bCs/>
                <w:kern w:val="0"/>
              </w:rPr>
              <w:t>专业课程</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ascii="仿宋_GB2312" w:hAnsi="宋体" w:eastAsia="仿宋_GB2312"/>
                <w:spacing w:val="15"/>
                <w:kern w:val="0"/>
              </w:rPr>
            </w:pPr>
            <w:r>
              <w:rPr>
                <w:rFonts w:ascii="仿宋_GB2312" w:hAnsi="宋体" w:eastAsia="仿宋_GB2312" w:cs="仿宋_GB2312"/>
                <w:spacing w:val="15"/>
                <w:kern w:val="0"/>
              </w:rPr>
              <w:t>49</w:t>
            </w:r>
          </w:p>
        </w:tc>
        <w:tc>
          <w:tcPr>
            <w:tcW w:w="1067"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ascii="仿宋_GB2312" w:hAnsi="宋体" w:eastAsia="仿宋_GB2312"/>
                <w:spacing w:val="15"/>
                <w:kern w:val="0"/>
              </w:rPr>
            </w:pPr>
            <w:r>
              <w:rPr>
                <w:rFonts w:ascii="仿宋_GB2312" w:hAnsi="宋体" w:eastAsia="仿宋_GB2312" w:cs="仿宋_GB2312"/>
                <w:spacing w:val="15"/>
                <w:kern w:val="0"/>
              </w:rPr>
              <w:t>13</w:t>
            </w:r>
          </w:p>
        </w:tc>
        <w:tc>
          <w:tcPr>
            <w:tcW w:w="147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rPr>
            </w:pPr>
            <w:r>
              <w:rPr>
                <w:rFonts w:ascii="仿宋_GB2312" w:hAnsi="宋体" w:eastAsia="仿宋_GB2312" w:cs="仿宋_GB2312"/>
              </w:rPr>
              <w:t>36.5</w:t>
            </w:r>
          </w:p>
        </w:tc>
        <w:tc>
          <w:tcPr>
            <w:tcW w:w="926"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hint="eastAsia" w:ascii="仿宋_GB2312" w:hAnsi="宋体" w:eastAsia="仿宋_GB2312"/>
                <w:color w:val="000000"/>
                <w:spacing w:val="15"/>
                <w:kern w:val="0"/>
              </w:rPr>
            </w:pPr>
            <w:r>
              <w:rPr>
                <w:rFonts w:hint="eastAsia" w:ascii="仿宋_GB2312" w:hAnsi="宋体" w:eastAsia="仿宋_GB2312"/>
                <w:color w:val="000000"/>
                <w:spacing w:val="15"/>
                <w:kern w:val="0"/>
              </w:rPr>
              <w:t>9</w:t>
            </w:r>
            <w:r>
              <w:rPr>
                <w:rFonts w:hint="eastAsia" w:ascii="仿宋_GB2312" w:hAnsi="宋体" w:eastAsia="仿宋_GB2312"/>
                <w:color w:val="000000"/>
                <w:spacing w:val="15"/>
                <w:kern w:val="0"/>
                <w:lang w:val="en-US" w:eastAsia="zh-CN"/>
              </w:rPr>
              <w:t>5</w:t>
            </w:r>
            <w:r>
              <w:rPr>
                <w:rFonts w:hint="eastAsia" w:ascii="仿宋_GB2312" w:hAnsi="宋体" w:eastAsia="仿宋_GB2312"/>
                <w:color w:val="000000"/>
                <w:spacing w:val="15"/>
                <w:kern w:val="0"/>
              </w:rPr>
              <w:t>0</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hint="eastAsia" w:ascii="仿宋_GB2312" w:hAnsi="宋体" w:eastAsia="仿宋_GB2312"/>
                <w:color w:val="000000"/>
                <w:spacing w:val="15"/>
                <w:kern w:val="0"/>
              </w:rPr>
            </w:pPr>
            <w:r>
              <w:rPr>
                <w:rFonts w:hint="eastAsia" w:ascii="仿宋_GB2312" w:hAnsi="宋体" w:eastAsia="仿宋_GB2312"/>
                <w:color w:val="000000"/>
                <w:spacing w:val="15"/>
                <w:kern w:val="0"/>
              </w:rPr>
              <w:t>2</w:t>
            </w:r>
            <w:r>
              <w:rPr>
                <w:rFonts w:hint="eastAsia" w:ascii="仿宋_GB2312" w:hAnsi="宋体" w:eastAsia="仿宋_GB2312"/>
                <w:color w:val="000000"/>
                <w:spacing w:val="15"/>
                <w:kern w:val="0"/>
                <w:lang w:val="en-US" w:eastAsia="zh-CN"/>
              </w:rPr>
              <w:t>4</w:t>
            </w:r>
            <w:r>
              <w:rPr>
                <w:rFonts w:hint="eastAsia" w:ascii="仿宋_GB2312" w:hAnsi="宋体" w:eastAsia="仿宋_GB2312"/>
                <w:color w:val="000000"/>
                <w:spacing w:val="15"/>
                <w:kern w:val="0"/>
              </w:rPr>
              <w:t>6</w:t>
            </w:r>
          </w:p>
        </w:tc>
        <w:tc>
          <w:tcPr>
            <w:tcW w:w="181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宋体"/>
              </w:rPr>
            </w:pPr>
            <w:r>
              <w:rPr>
                <w:rFonts w:hint="eastAsia" w:ascii="仿宋_GB2312" w:eastAsia="仿宋_GB2312" w:cs="宋体"/>
              </w:rPr>
              <w:t xml:space="preserve"> 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spacing w:val="15"/>
                <w:kern w:val="0"/>
              </w:rPr>
            </w:pPr>
            <w:r>
              <w:rPr>
                <w:rFonts w:hint="eastAsia" w:ascii="宋体" w:hAnsi="宋体" w:cs="宋体"/>
                <w:b/>
                <w:bCs/>
                <w:kern w:val="0"/>
              </w:rPr>
              <w:t>职业课程</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ascii="仿宋_GB2312" w:hAnsi="宋体" w:eastAsia="仿宋_GB2312" w:cs="仿宋_GB2312"/>
                <w:color w:val="000000"/>
                <w:spacing w:val="15"/>
                <w:kern w:val="0"/>
              </w:rPr>
            </w:pPr>
            <w:r>
              <w:rPr>
                <w:rFonts w:ascii="仿宋_GB2312" w:hAnsi="宋体" w:eastAsia="仿宋_GB2312" w:cs="仿宋_GB2312"/>
                <w:color w:val="000000"/>
                <w:spacing w:val="15"/>
                <w:kern w:val="0"/>
              </w:rPr>
              <w:t>7.5</w:t>
            </w:r>
          </w:p>
        </w:tc>
        <w:tc>
          <w:tcPr>
            <w:tcW w:w="1067"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hint="eastAsia" w:ascii="仿宋_GB2312" w:hAnsi="宋体" w:eastAsia="仿宋_GB2312" w:cs="仿宋_GB2312"/>
                <w:color w:val="000000"/>
                <w:spacing w:val="15"/>
                <w:kern w:val="0"/>
              </w:rPr>
            </w:pPr>
            <w:r>
              <w:rPr>
                <w:rFonts w:hint="eastAsia" w:ascii="仿宋_GB2312" w:hAnsi="宋体" w:eastAsia="仿宋_GB2312" w:cs="仿宋_GB2312"/>
                <w:color w:val="000000"/>
                <w:spacing w:val="15"/>
                <w:kern w:val="0"/>
              </w:rPr>
              <w:t>21.5</w:t>
            </w:r>
          </w:p>
        </w:tc>
        <w:tc>
          <w:tcPr>
            <w:tcW w:w="147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rPr>
            </w:pPr>
            <w:r>
              <w:rPr>
                <w:rFonts w:hint="eastAsia" w:ascii="仿宋_GB2312" w:hAnsi="宋体" w:eastAsia="仿宋_GB2312" w:cs="仿宋_GB2312"/>
              </w:rPr>
              <w:t>17.6</w:t>
            </w:r>
          </w:p>
        </w:tc>
        <w:tc>
          <w:tcPr>
            <w:tcW w:w="926"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ascii="仿宋_GB2312" w:hAnsi="宋体" w:eastAsia="仿宋_GB2312"/>
                <w:color w:val="000000"/>
                <w:spacing w:val="15"/>
                <w:kern w:val="0"/>
              </w:rPr>
            </w:pPr>
            <w:r>
              <w:rPr>
                <w:rFonts w:ascii="仿宋_GB2312" w:hAnsi="宋体" w:eastAsia="仿宋_GB2312" w:cs="仿宋_GB2312"/>
                <w:color w:val="000000"/>
                <w:spacing w:val="15"/>
                <w:kern w:val="0"/>
              </w:rPr>
              <w:t>21</w:t>
            </w:r>
            <w:r>
              <w:rPr>
                <w:rFonts w:hint="eastAsia" w:ascii="仿宋_GB2312" w:hAnsi="宋体" w:eastAsia="仿宋_GB2312" w:cs="仿宋_GB2312"/>
                <w:color w:val="000000"/>
                <w:spacing w:val="15"/>
                <w:kern w:val="0"/>
                <w:lang w:val="en-US" w:eastAsia="zh-CN"/>
              </w:rPr>
              <w:t>5</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ascii="仿宋_GB2312" w:hAnsi="宋体" w:eastAsia="仿宋_GB2312" w:cs="仿宋_GB2312"/>
                <w:color w:val="000000"/>
                <w:spacing w:val="15"/>
                <w:kern w:val="0"/>
              </w:rPr>
            </w:pPr>
            <w:r>
              <w:rPr>
                <w:rFonts w:hint="eastAsia" w:ascii="仿宋_GB2312" w:hAnsi="宋体" w:eastAsia="仿宋_GB2312" w:cs="仿宋_GB2312"/>
                <w:color w:val="000000"/>
                <w:spacing w:val="15"/>
                <w:kern w:val="0"/>
              </w:rPr>
              <w:t>1</w:t>
            </w:r>
            <w:r>
              <w:rPr>
                <w:rFonts w:hint="eastAsia" w:ascii="仿宋_GB2312" w:hAnsi="宋体" w:eastAsia="仿宋_GB2312" w:cs="仿宋_GB2312"/>
                <w:color w:val="000000"/>
                <w:spacing w:val="15"/>
                <w:kern w:val="0"/>
                <w:lang w:val="en-US" w:eastAsia="zh-CN"/>
              </w:rPr>
              <w:t>39</w:t>
            </w:r>
          </w:p>
        </w:tc>
        <w:tc>
          <w:tcPr>
            <w:tcW w:w="181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rPr>
            </w:pPr>
            <w:r>
              <w:rPr>
                <w:rFonts w:hint="eastAsia" w:ascii="仿宋_GB2312" w:hAnsi="宋体" w:eastAsia="仿宋_GB2312" w:cs="宋体"/>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spacing w:val="15"/>
                <w:kern w:val="0"/>
              </w:rPr>
            </w:pPr>
            <w:r>
              <w:rPr>
                <w:rFonts w:hint="eastAsia" w:ascii="宋体" w:hAnsi="宋体" w:cs="宋体"/>
                <w:b/>
                <w:bCs/>
                <w:kern w:val="0"/>
              </w:rPr>
              <w:t>总</w:t>
            </w:r>
            <w:r>
              <w:rPr>
                <w:rFonts w:ascii="宋体" w:hAnsi="宋体" w:cs="宋体"/>
                <w:b/>
                <w:bCs/>
                <w:kern w:val="0"/>
              </w:rPr>
              <w:t xml:space="preserve">  </w:t>
            </w:r>
            <w:r>
              <w:rPr>
                <w:rFonts w:hint="eastAsia" w:ascii="宋体" w:hAnsi="宋体" w:cs="宋体"/>
                <w:b/>
                <w:bCs/>
                <w:kern w:val="0"/>
              </w:rPr>
              <w:t>计</w:t>
            </w:r>
          </w:p>
        </w:tc>
        <w:tc>
          <w:tcPr>
            <w:tcW w:w="196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ascii="仿宋_GB2312" w:hAnsi="宋体" w:eastAsia="仿宋_GB2312"/>
                <w:color w:val="000000"/>
                <w:spacing w:val="15"/>
                <w:kern w:val="0"/>
              </w:rPr>
            </w:pPr>
            <w:r>
              <w:rPr>
                <w:rFonts w:ascii="仿宋_GB2312" w:hAnsi="宋体" w:eastAsia="仿宋_GB2312" w:cs="仿宋_GB2312"/>
                <w:color w:val="000000"/>
                <w:spacing w:val="15"/>
                <w:kern w:val="0"/>
              </w:rPr>
              <w:t>170</w:t>
            </w:r>
          </w:p>
        </w:tc>
        <w:tc>
          <w:tcPr>
            <w:tcW w:w="1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ascii="仿宋_GB2312" w:hAnsi="宋体" w:eastAsia="仿宋_GB2312" w:cs="仿宋_GB2312"/>
                <w:color w:val="000000"/>
                <w:spacing w:val="15"/>
                <w:kern w:val="0"/>
              </w:rPr>
            </w:pPr>
            <w:r>
              <w:rPr>
                <w:rFonts w:ascii="仿宋_GB2312" w:hAnsi="宋体" w:eastAsia="仿宋_GB2312" w:cs="仿宋_GB2312"/>
                <w:color w:val="000000"/>
                <w:spacing w:val="15"/>
                <w:kern w:val="0"/>
              </w:rPr>
              <w:t>100</w:t>
            </w:r>
          </w:p>
        </w:tc>
        <w:tc>
          <w:tcPr>
            <w:tcW w:w="181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hint="eastAsia" w:ascii="仿宋_GB2312" w:hAnsi="宋体" w:eastAsia="仿宋_GB2312"/>
                <w:color w:val="000000"/>
                <w:spacing w:val="15"/>
                <w:kern w:val="0"/>
                <w:lang w:val="en-US" w:eastAsia="zh-CN"/>
              </w:rPr>
            </w:pPr>
            <w:r>
              <w:rPr>
                <w:rFonts w:hint="eastAsia" w:ascii="仿宋_GB2312" w:hAnsi="宋体" w:eastAsia="仿宋_GB2312"/>
                <w:color w:val="000000"/>
                <w:spacing w:val="15"/>
                <w:kern w:val="0"/>
                <w:lang w:val="en-US" w:eastAsia="zh-CN"/>
              </w:rPr>
              <w:t>2933</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rPr>
                <w:rFonts w:ascii="仿宋_GB2312" w:hAnsi="宋体" w:eastAsia="仿宋_GB2312" w:cs="仿宋_GB2312"/>
                <w:color w:val="000000"/>
                <w:spacing w:val="15"/>
                <w:kern w:val="0"/>
              </w:rPr>
            </w:pPr>
            <w:r>
              <w:rPr>
                <w:rFonts w:ascii="仿宋_GB2312" w:hAnsi="宋体" w:eastAsia="仿宋_GB2312" w:cs="仿宋_GB2312"/>
                <w:color w:val="000000"/>
                <w:spacing w:val="15"/>
                <w:kern w:val="0"/>
              </w:rPr>
              <w:t>100</w:t>
            </w:r>
          </w:p>
        </w:tc>
      </w:tr>
    </w:tbl>
    <w:p>
      <w:pPr>
        <w:snapToGrid w:val="0"/>
        <w:spacing w:line="460" w:lineRule="exact"/>
        <w:rPr>
          <w:rFonts w:ascii="宋体"/>
          <w:sz w:val="20"/>
          <w:szCs w:val="20"/>
        </w:rPr>
      </w:pPr>
      <w:r>
        <w:rPr>
          <w:rFonts w:hint="eastAsia" w:ascii="宋体" w:hAnsi="宋体" w:cs="宋体"/>
          <w:b/>
          <w:bCs/>
          <w:sz w:val="20"/>
          <w:szCs w:val="20"/>
        </w:rPr>
        <w:t>注：</w:t>
      </w:r>
      <w:r>
        <w:rPr>
          <w:rFonts w:hint="eastAsia" w:ascii="宋体" w:hAnsi="宋体" w:cs="宋体"/>
          <w:sz w:val="20"/>
          <w:szCs w:val="20"/>
        </w:rPr>
        <w:t>实践课学分总计53，占总学分比例为31.1</w:t>
      </w:r>
      <w:r>
        <w:rPr>
          <w:rFonts w:ascii="宋体" w:hAnsi="宋体" w:cs="宋体"/>
          <w:sz w:val="20"/>
          <w:szCs w:val="20"/>
        </w:rPr>
        <w:t>%</w:t>
      </w:r>
      <w:r>
        <w:rPr>
          <w:rFonts w:hint="eastAsia" w:ascii="宋体" w:hAnsi="宋体" w:cs="宋体"/>
          <w:sz w:val="20"/>
          <w:szCs w:val="20"/>
        </w:rPr>
        <w:t>。</w:t>
      </w:r>
    </w:p>
    <w:p>
      <w:pPr>
        <w:pStyle w:val="4"/>
        <w:spacing w:before="0" w:beforeAutospacing="0" w:after="0" w:afterAutospacing="0"/>
        <w:jc w:val="both"/>
        <w:rPr>
          <w:rFonts w:ascii="方正楷体_GBK" w:eastAsia="方正楷体_GBK" w:cs="Times New Roman"/>
          <w:u w:val="single"/>
        </w:rPr>
      </w:pPr>
    </w:p>
    <w:p>
      <w:pPr>
        <w:pStyle w:val="4"/>
        <w:spacing w:before="0" w:beforeAutospacing="0" w:after="0" w:afterAutospacing="0" w:line="400" w:lineRule="exact"/>
        <w:jc w:val="both"/>
        <w:rPr>
          <w:rFonts w:hint="eastAsia" w:ascii="楷体_GB2312" w:eastAsia="楷体_GB2312" w:cs="Times New Roman"/>
          <w:lang w:eastAsia="zh-CN"/>
        </w:rPr>
      </w:pPr>
      <w:r>
        <w:rPr>
          <w:rFonts w:hint="eastAsia" w:ascii="楷体_GB2312" w:eastAsia="楷体_GB2312" w:cs="Times New Roman"/>
          <w:lang w:eastAsia="zh-CN"/>
        </w:rPr>
        <w:t>附表</w:t>
      </w:r>
      <w:r>
        <w:rPr>
          <w:rFonts w:hint="eastAsia" w:ascii="楷体_GB2312" w:eastAsia="楷体_GB2312" w:cs="Times New Roman"/>
          <w:lang w:val="en-US" w:eastAsia="zh-CN"/>
        </w:rPr>
        <w:t>3：</w:t>
      </w:r>
    </w:p>
    <w:p>
      <w:pPr>
        <w:pStyle w:val="4"/>
        <w:spacing w:before="0" w:beforeAutospacing="0" w:after="0" w:afterAutospacing="0" w:line="400" w:lineRule="exact"/>
        <w:jc w:val="both"/>
        <w:rPr>
          <w:rFonts w:ascii="楷体_GB2312" w:eastAsia="楷体_GB2312" w:cs="Times New Roman"/>
        </w:rPr>
      </w:pPr>
    </w:p>
    <w:tbl>
      <w:tblPr>
        <w:tblStyle w:val="6"/>
        <w:tblW w:w="10545" w:type="dxa"/>
        <w:tblInd w:w="-5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8"/>
        <w:gridCol w:w="1102"/>
        <w:gridCol w:w="1515"/>
        <w:gridCol w:w="613"/>
        <w:gridCol w:w="609"/>
        <w:gridCol w:w="518"/>
        <w:gridCol w:w="375"/>
        <w:gridCol w:w="403"/>
        <w:gridCol w:w="377"/>
        <w:gridCol w:w="405"/>
        <w:gridCol w:w="353"/>
        <w:gridCol w:w="492"/>
        <w:gridCol w:w="400"/>
        <w:gridCol w:w="375"/>
        <w:gridCol w:w="294"/>
        <w:gridCol w:w="432"/>
        <w:gridCol w:w="447"/>
        <w:gridCol w:w="417"/>
        <w:gridCol w:w="432"/>
        <w:gridCol w:w="402"/>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555" w:hRule="atLeast"/>
        </w:trPr>
        <w:tc>
          <w:tcPr>
            <w:tcW w:w="10539" w:type="dxa"/>
            <w:gridSpan w:val="20"/>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行政管理本科专业教学计划进程表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300" w:hRule="atLeast"/>
        </w:trPr>
        <w:tc>
          <w:tcPr>
            <w:tcW w:w="578"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别</w:t>
            </w:r>
          </w:p>
        </w:tc>
        <w:tc>
          <w:tcPr>
            <w:tcW w:w="110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码</w:t>
            </w:r>
          </w:p>
        </w:tc>
        <w:tc>
          <w:tcPr>
            <w:tcW w:w="151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称</w:t>
            </w:r>
          </w:p>
        </w:tc>
        <w:tc>
          <w:tcPr>
            <w:tcW w:w="613"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修</w:t>
            </w:r>
          </w:p>
        </w:tc>
        <w:tc>
          <w:tcPr>
            <w:tcW w:w="609"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分</w:t>
            </w:r>
          </w:p>
        </w:tc>
        <w:tc>
          <w:tcPr>
            <w:tcW w:w="518"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时</w:t>
            </w:r>
          </w:p>
        </w:tc>
        <w:tc>
          <w:tcPr>
            <w:tcW w:w="778" w:type="dxa"/>
            <w:gridSpan w:val="2"/>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理论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教学</w:t>
            </w:r>
          </w:p>
        </w:tc>
        <w:tc>
          <w:tcPr>
            <w:tcW w:w="782" w:type="dxa"/>
            <w:gridSpan w:val="2"/>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教学</w:t>
            </w:r>
          </w:p>
        </w:tc>
        <w:tc>
          <w:tcPr>
            <w:tcW w:w="3210" w:type="dxa"/>
            <w:gridSpan w:val="8"/>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开课学年、学期及周学时</w:t>
            </w:r>
          </w:p>
        </w:tc>
        <w:tc>
          <w:tcPr>
            <w:tcW w:w="834" w:type="dxa"/>
            <w:gridSpan w:val="2"/>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300" w:hRule="atLeast"/>
        </w:trPr>
        <w:tc>
          <w:tcPr>
            <w:tcW w:w="57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1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51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0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778"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782"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210" w:type="dxa"/>
            <w:gridSpan w:val="8"/>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34"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300" w:hRule="atLeast"/>
        </w:trPr>
        <w:tc>
          <w:tcPr>
            <w:tcW w:w="57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1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51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0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778"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782"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834"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300" w:hRule="atLeast"/>
        </w:trPr>
        <w:tc>
          <w:tcPr>
            <w:tcW w:w="57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1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51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0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学分</w:t>
            </w:r>
          </w:p>
        </w:tc>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学时</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学分</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学时</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4</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6</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7</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8</w:t>
            </w:r>
          </w:p>
        </w:tc>
        <w:tc>
          <w:tcPr>
            <w:tcW w:w="834"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330" w:hRule="atLeast"/>
        </w:trPr>
        <w:tc>
          <w:tcPr>
            <w:tcW w:w="57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1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51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0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17</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17</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18</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17</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18</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17</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考试</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通</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识</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教</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育</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课</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思想道德修养与法律基础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46</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马克思主义基本原理概论</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毛泽东思想和中国特色社会主义理论体系概论</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88</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中国近现代史纲要</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体育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120</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大学英语</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278</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70</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大学IT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形势与政策</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军事理论训练与安全教育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2周</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2周</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社会实践</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大学生心理健康教育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人文素养类课程</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科学素养类课程</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TS1614</w:t>
            </w:r>
          </w:p>
        </w:tc>
        <w:tc>
          <w:tcPr>
            <w:tcW w:w="151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艺术素养类课程</w:t>
            </w:r>
          </w:p>
        </w:tc>
        <w:tc>
          <w:tcPr>
            <w:tcW w:w="61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1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37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377"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学</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科</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专</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业</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基</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础</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课</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程</w:t>
            </w:r>
          </w:p>
        </w:tc>
        <w:tc>
          <w:tcPr>
            <w:tcW w:w="1102"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管理学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1103061602</w:t>
            </w:r>
          </w:p>
        </w:tc>
        <w:tc>
          <w:tcPr>
            <w:tcW w:w="151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公共关系学</w:t>
            </w:r>
          </w:p>
        </w:tc>
        <w:tc>
          <w:tcPr>
            <w:tcW w:w="61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37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60</w:t>
            </w:r>
          </w:p>
        </w:tc>
        <w:tc>
          <w:tcPr>
            <w:tcW w:w="37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w:t>
            </w:r>
          </w:p>
        </w:tc>
        <w:tc>
          <w:tcPr>
            <w:tcW w:w="35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92"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1103061603</w:t>
            </w:r>
          </w:p>
        </w:tc>
        <w:tc>
          <w:tcPr>
            <w:tcW w:w="151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微积分</w:t>
            </w:r>
          </w:p>
        </w:tc>
        <w:tc>
          <w:tcPr>
            <w:tcW w:w="61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37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377"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92"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学科与专业导论</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1103061605</w:t>
            </w:r>
          </w:p>
        </w:tc>
        <w:tc>
          <w:tcPr>
            <w:tcW w:w="1515"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社会学</w:t>
            </w:r>
          </w:p>
        </w:tc>
        <w:tc>
          <w:tcPr>
            <w:tcW w:w="613"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375"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3"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52</w:t>
            </w:r>
          </w:p>
        </w:tc>
        <w:tc>
          <w:tcPr>
            <w:tcW w:w="377"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353" w:type="dxa"/>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00" w:type="dxa"/>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政治学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45</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专</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业</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课</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1103061607</w:t>
            </w:r>
          </w:p>
        </w:tc>
        <w:tc>
          <w:tcPr>
            <w:tcW w:w="151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形式逻辑</w:t>
            </w:r>
          </w:p>
        </w:tc>
        <w:tc>
          <w:tcPr>
            <w:tcW w:w="61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7"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92"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西方经济学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民法学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 w:type="dxa"/>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行政管理学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统计学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46</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劳动法与劳动合同法</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行政法学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社会保障概论</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组织行为学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财政学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人力资源管理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公共政策学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市场营销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物业管理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45</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西方政治制度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45</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社区管理学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45</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管理经济学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公共伦理学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45</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电子商务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市政管理学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商务文秘</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经济法学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领导科学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国际贸易</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区域经济学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bookmarkStart w:id="0" w:name="_GoBack"/>
            <w:bookmarkEnd w:id="0"/>
            <w:r>
              <w:rPr>
                <w:rFonts w:hint="default" w:ascii="仿宋_GB2312" w:hAnsi="宋体" w:eastAsia="仿宋_GB2312" w:cs="仿宋_GB2312"/>
                <w:i w:val="0"/>
                <w:color w:val="000000"/>
                <w:kern w:val="0"/>
                <w:sz w:val="18"/>
                <w:szCs w:val="18"/>
                <w:u w:val="none"/>
                <w:lang w:val="en-US" w:eastAsia="zh-CN" w:bidi="ar"/>
              </w:rPr>
              <w:t>1103061632</w:t>
            </w:r>
          </w:p>
        </w:tc>
        <w:tc>
          <w:tcPr>
            <w:tcW w:w="151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国家公务员制度</w:t>
            </w:r>
          </w:p>
        </w:tc>
        <w:tc>
          <w:tcPr>
            <w:tcW w:w="61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45</w:t>
            </w:r>
          </w:p>
        </w:tc>
        <w:tc>
          <w:tcPr>
            <w:tcW w:w="37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53"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17" w:type="dxa"/>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社会保险学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职</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业</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课</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程</w:t>
            </w:r>
          </w:p>
        </w:tc>
        <w:tc>
          <w:tcPr>
            <w:tcW w:w="11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TS1612</w:t>
            </w:r>
          </w:p>
        </w:tc>
        <w:tc>
          <w:tcPr>
            <w:tcW w:w="151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大学生职业发展与就业指导</w:t>
            </w:r>
          </w:p>
        </w:tc>
        <w:tc>
          <w:tcPr>
            <w:tcW w:w="61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518"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38</w:t>
            </w:r>
          </w:p>
        </w:tc>
        <w:tc>
          <w:tcPr>
            <w:tcW w:w="375"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3"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38</w:t>
            </w:r>
          </w:p>
        </w:tc>
        <w:tc>
          <w:tcPr>
            <w:tcW w:w="353"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47"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毕业论文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毕业实习</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8周</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8周</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8周</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社会考察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1周</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1103061637</w:t>
            </w:r>
          </w:p>
        </w:tc>
        <w:tc>
          <w:tcPr>
            <w:tcW w:w="151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企业综合实训</w:t>
            </w:r>
          </w:p>
        </w:tc>
        <w:tc>
          <w:tcPr>
            <w:tcW w:w="61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60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18"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37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377"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53"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2"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94"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4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17"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8" w:type="dxa"/>
            <w:gridSpan w:val="2"/>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Style w:val="8"/>
                <w:rFonts w:hAnsi="宋体"/>
                <w:lang w:val="en-US" w:eastAsia="zh-CN" w:bidi="ar"/>
              </w:rPr>
              <w:t>合      计</w:t>
            </w:r>
          </w:p>
        </w:tc>
        <w:tc>
          <w:tcPr>
            <w:tcW w:w="613"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60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170</w:t>
            </w:r>
          </w:p>
        </w:tc>
        <w:tc>
          <w:tcPr>
            <w:tcW w:w="518"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2933</w:t>
            </w:r>
          </w:p>
        </w:tc>
        <w:tc>
          <w:tcPr>
            <w:tcW w:w="37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127.5</w:t>
            </w:r>
          </w:p>
        </w:tc>
        <w:tc>
          <w:tcPr>
            <w:tcW w:w="40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2303</w:t>
            </w:r>
          </w:p>
        </w:tc>
        <w:tc>
          <w:tcPr>
            <w:tcW w:w="37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w:t>
            </w:r>
          </w:p>
        </w:tc>
        <w:tc>
          <w:tcPr>
            <w:tcW w:w="40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629</w:t>
            </w:r>
          </w:p>
        </w:tc>
        <w:tc>
          <w:tcPr>
            <w:tcW w:w="35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4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37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26</w:t>
            </w:r>
          </w:p>
        </w:tc>
        <w:tc>
          <w:tcPr>
            <w:tcW w:w="2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27</w:t>
            </w:r>
          </w:p>
        </w:tc>
        <w:tc>
          <w:tcPr>
            <w:tcW w:w="4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44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w:t>
            </w:r>
          </w:p>
        </w:tc>
        <w:tc>
          <w:tcPr>
            <w:tcW w:w="41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c>
          <w:tcPr>
            <w:tcW w:w="432"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8" w:type="dxa"/>
            <w:gridSpan w:val="2"/>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0" w:hRule="atLeast"/>
        </w:trPr>
        <w:tc>
          <w:tcPr>
            <w:tcW w:w="105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注：1.形势与政策课按平均每学期16周，每周1学时，计2学分。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2.军事理论训练与安全教育：军事理论课程36学时，计2学分，以理论课、讲座、答疑的形式进行；军事训练与安全教育2周，计1学分。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3.大学生职业发展与就业指导课程分两段上课：大学生职业发展部分20学时，在第二学期完成；就业指导部分18学时，在第七学期完成，计1学分，以理论课、讲座、答疑的形式进行。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4.社会实践4个学分，其中1个学分安排劳动实践，时间为一周，在第三学期进行；其余3学分在三学年内组织开展三下乡社会实践、社会公益、志愿服务等活动。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5.创业教育课程安排在第三学期至第七学期，以理论课、讲座、答疑的形式进行。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6.中学阶段学习俄语的同学，可不修大学英语，学习大学俄语（TS1314）。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7.VisualFoxpro(3学分，48学时）课程，安排在科学素养类课程中。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8.专业课程中，除必修课以外，学生需要选修至少 26学分。</w:t>
            </w:r>
          </w:p>
        </w:tc>
      </w:tr>
    </w:tbl>
    <w:p>
      <w:pPr/>
    </w:p>
    <w:sectPr>
      <w:headerReference r:id="rId3" w:type="default"/>
      <w:pgSz w:w="11906" w:h="16838"/>
      <w:pgMar w:top="1588"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altName w:val="仿宋"/>
    <w:panose1 w:val="02010609030101010101"/>
    <w:charset w:val="86"/>
    <w:family w:val="decorative"/>
    <w:pitch w:val="default"/>
    <w:sig w:usb0="00000000" w:usb1="00000000" w:usb2="00000000" w:usb3="00000000" w:csb0="00040000" w:csb1="00000000"/>
  </w:font>
  <w:font w:name="方正大标宋简体">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roman"/>
    <w:pitch w:val="default"/>
    <w:sig w:usb0="E1002EFF" w:usb1="C000605B" w:usb2="00000029" w:usb3="00000000" w:csb0="200101FF" w:csb1="20280000"/>
  </w:font>
  <w:font w:name="方正楷体_GBK">
    <w:altName w:val="黑体"/>
    <w:panose1 w:val="00000000000000000000"/>
    <w:charset w:val="86"/>
    <w:family w:val="script"/>
    <w:pitch w:val="default"/>
    <w:sig w:usb0="00000000" w:usb1="00000000" w:usb2="00000010" w:usb3="00000000" w:csb0="00040000" w:csb1="0000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黑体">
    <w:panose1 w:val="02010609060101010101"/>
    <w:charset w:val="86"/>
    <w:family w:val="script"/>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roman"/>
    <w:pitch w:val="default"/>
    <w:sig w:usb0="00000000" w:usb1="00000000" w:usb2="00000000" w:usb3="00000000" w:csb0="00040000" w:csb1="00000000"/>
  </w:font>
  <w:font w:name="Tahoma">
    <w:panose1 w:val="020B0604030504040204"/>
    <w:charset w:val="00"/>
    <w:family w:val="modern"/>
    <w:pitch w:val="default"/>
    <w:sig w:usb0="E1002EFF" w:usb1="C000605B" w:usb2="00000029" w:usb3="00000000" w:csb0="200101FF" w:csb1="2028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63D96"/>
    <w:rsid w:val="13BB7D44"/>
    <w:rsid w:val="2CDF0A02"/>
    <w:rsid w:val="32B231ED"/>
    <w:rsid w:val="4C6B50F1"/>
    <w:rsid w:val="4FFD1ACD"/>
    <w:rsid w:val="731E4C78"/>
    <w:rsid w:val="77683F9C"/>
    <w:rsid w:val="7FAC749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宋体"/>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font71"/>
    <w:basedOn w:val="5"/>
    <w:qFormat/>
    <w:uiPriority w:val="0"/>
    <w:rPr>
      <w:rFonts w:hint="eastAsia" w:ascii="仿宋_GB2312" w:eastAsia="仿宋_GB2312" w:cs="仿宋_GB2312"/>
      <w:color w:val="000000"/>
      <w:sz w:val="18"/>
      <w:szCs w:val="18"/>
      <w:u w:val="none"/>
    </w:rPr>
  </w:style>
  <w:style w:type="character" w:customStyle="1" w:styleId="8">
    <w:name w:val="font31"/>
    <w:basedOn w:val="5"/>
    <w:qFormat/>
    <w:uiPriority w:val="0"/>
    <w:rPr>
      <w:rFonts w:hint="default"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2016-05-16T09:23:42Z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